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finporing (VU), knärot (VU, §8), rostskinn (VU), rynkskinn (VU), ulltickeporing (VU), vågticka (VU), garnlav (NT), granticka (NT), kilporing (NT), Leptoporus mollis (NT), rosenticka (NT), spillkråka (NT, §4), talltita (NT, §4), ullticka (NT), violettgrå tagellav (NT), björksplintborre (S), bollvitmossa (S), bronshjon (S), bågpraktmossa (S), fjällig taggsvamp s.str. (S), granbarkgnagare (S), kattfotslav (S), källpraktmossa (S), mörk husmossa (S), rödgul trumpetsvamp (S), skogshakmossa (S), sotriska (S), svavelriska (S), thomsons trägnagare (S), trådticka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99 fyndplatser för knärot registrerade på Artportalen. Figur 2 visar gränserna för buffertzoner på 50 m, som behöver lämnas kring fyndplatserna för att knärotslokalerna inte ska försvinna vid en avverkning. Av det avverkningsanmälda området överlappar 11.63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