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1455-2026 i Hedemora kommun</w:t>
      </w:r>
    </w:p>
    <w:p>
      <w:r>
        <w:t>Detta dokument behandlar höga naturvärden i avverkningsanmälan A 1455-2026 i Hedemora kommun. Denna avverkningsanmälan inkom 2026-01-11 00:00:00 och omfattar 1,4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knärot (VU, §8), blågrå svartspik (NT), gropticka (NT), tretåig hackspett (NT, §4), ullticka (NT), bronshjon (S), vedticka (S) och vågbandad barkbock (S).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25221"/>
            <wp:docPr id="1" name="Picture 1"/>
            <wp:cNvGraphicFramePr>
              <a:graphicFrameLocks noChangeAspect="1"/>
            </wp:cNvGraphicFramePr>
            <a:graphic>
              <a:graphicData uri="http://schemas.openxmlformats.org/drawingml/2006/picture">
                <pic:pic>
                  <pic:nvPicPr>
                    <pic:cNvPr id="0" name="A 1455-2026 karta.png"/>
                    <pic:cNvPicPr/>
                  </pic:nvPicPr>
                  <pic:blipFill>
                    <a:blip r:embed="rId16"/>
                    <a:stretch>
                      <a:fillRect/>
                    </a:stretch>
                  </pic:blipFill>
                  <pic:spPr>
                    <a:xfrm>
                      <a:off x="0" y="0"/>
                      <a:ext cx="5486400" cy="52252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6698049, E 554699 i SWEREF 99 TM.</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Gropticka (NT)</w:t>
      </w:r>
      <w:r>
        <w:t xml:space="preserve"> är en bra signalart som visar på skyddsvärda barrskogar i södra halvan av landet och kan betraktas som en sydlig ”urskogsindikator” eller gammelskogsindikator. Skogsbestånd där gropticka återfinns bör lämnas till fri utveckling. För att bibehålla arten i landet på sikt krävs att fler områden med gammal barrskog skyddas i Götaland och Svealand. Gropticka är typisk art för </w:t>
      </w:r>
      <w:r>
        <w:rPr>
          <w:i/>
        </w:rPr>
        <w:t>9010 Taiga</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1.38 ha med buffertzonerna och får av detta skäl inte avverkas.</w:t>
      </w:r>
    </w:p>
    <w:p>
      <w:pPr>
        <w:pStyle w:val="Caption"/>
      </w:pPr>
      <w:r>
        <w:drawing>
          <wp:inline xmlns:a="http://schemas.openxmlformats.org/drawingml/2006/main" xmlns:pic="http://schemas.openxmlformats.org/drawingml/2006/picture">
            <wp:extent cx="5486400" cy="6614677"/>
            <wp:docPr id="2" name="Picture 2"/>
            <wp:cNvGraphicFramePr>
              <a:graphicFrameLocks noChangeAspect="1"/>
            </wp:cNvGraphicFramePr>
            <a:graphic>
              <a:graphicData uri="http://schemas.openxmlformats.org/drawingml/2006/picture">
                <pic:pic>
                  <pic:nvPicPr>
                    <pic:cNvPr id="0" name="A 1455-2026 karta knärot.png"/>
                    <pic:cNvPicPr/>
                  </pic:nvPicPr>
                  <pic:blipFill>
                    <a:blip r:embed="rId17"/>
                    <a:stretch>
                      <a:fillRect/>
                    </a:stretch>
                  </pic:blipFill>
                  <pic:spPr>
                    <a:xfrm>
                      <a:off x="0" y="0"/>
                      <a:ext cx="5486400" cy="66146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6698049, E 554699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