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82050"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82050"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44 naturvårdsarter, varav 28 är rödlistade, 6 är fridlysta, 26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84 fyndplatser för knärot registrerade på Artportalen. Figur 2 visar gränserna för buffertzoner på 50 m, som behöver lämnas kring fyndplatserna för att knärotslokalerna inte ska försvinna vid en avverkning. Av det samrådsanmälda området överlappar 14.90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