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2325-2023 i Hedemora kommun</w:t>
      </w:r>
    </w:p>
    <w:p>
      <w:r>
        <w:t>Denna tillsynsbegäran behandlar höga naturvärden i samrådsanmälan S 2325-2023 i Hedemora kommun som inkom 2023-06-28 och omfattar 23,4 ha.</w:t>
      </w:r>
    </w:p>
    <w:p>
      <w:pPr>
        <w:pStyle w:val="Caption"/>
      </w:pPr>
      <w:r>
        <w:drawing>
          <wp:inline xmlns:a="http://schemas.openxmlformats.org/drawingml/2006/main" xmlns:pic="http://schemas.openxmlformats.org/drawingml/2006/picture">
            <wp:extent cx="4682050" cy="5724000"/>
            <wp:docPr id="1" name="Picture 1"/>
            <wp:cNvGraphicFramePr>
              <a:graphicFrameLocks noChangeAspect="1"/>
            </wp:cNvGraphicFramePr>
            <a:graphic>
              <a:graphicData uri="http://schemas.openxmlformats.org/drawingml/2006/picture">
                <pic:pic>
                  <pic:nvPicPr>
                    <pic:cNvPr id="0" name="S 2325-2023 karta.png"/>
                    <pic:cNvPicPr/>
                  </pic:nvPicPr>
                  <pic:blipFill>
                    <a:blip r:embed="rId16"/>
                    <a:stretch>
                      <a:fillRect/>
                    </a:stretch>
                  </pic:blipFill>
                  <pic:spPr>
                    <a:xfrm>
                      <a:off x="0" y="0"/>
                      <a:ext cx="4682050"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6706606, E 563445 i SWEREF 99 TM.</w:t>
      </w:r>
    </w:p>
    <w:p>
      <w:r>
        <w:t>I och inom 22 meter från samrådsanmälan finns fynd av 44 naturvårdsarter, varav 28 är rödlistade, 6 är fridlysta, 26 är typiska (T) och 12 är signalarter (S): skogsalm (EN), blackticka (VU), citronporing (VU), garnlav (VU, T), gränsticka (VU, T), kilporing (VU), knärot (VU, T, §8), ostticka (VU, T), rosa jodskinn (VU), rostskinn (VU), Skeletocutis delicata (VU), ulltickeporing (VU), gransotdyna (NT), gropticka (NT, T), gullpudra (NT, T), kötticka (NT), mindre hackspett (NT, T, §4), motaggsvamp (NT, T), rosenticka (NT, T), rynkskinn (NT, T), rödfläckig zontaggsvamp (NT), stjärntagging (NT, T), tallticka (NT, T), talltita (NT, §4), tretåig hackspett (NT, T, §4), ullticka (NT, T), vågticka (NT), vårärt (NT, T), bollvitmossa (S, T), bronshjon (S, T), dvärgtufs (S), grovticka (S, T), grönpyrola (S, T), rostfläck (S, T), rödgul trumpetsvamp (S), sotriska (S), svavelriska (S), thomsons trägnagare (S), trådticka (S, T), vedticka (S, T), blåsippa (T, §9), bäckbräsma (T), kransmossa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84 fyndplatser för knärot registrerade på Artportalen. Figur 2 visar gränserna för buffertzoner på 50 m, som behöver lämnas kring fyndplatserna för att knärotslokalerna inte ska försvinna vid en avverkning. Av det samrådsanmälda området överlappar 14.90 ha med buffertzonerna och får av detta skäl inte avverkas.</w:t>
      </w:r>
    </w:p>
    <w:p>
      <w:pPr>
        <w:pStyle w:val="Caption"/>
      </w:pPr>
      <w:r>
        <w:drawing>
          <wp:inline xmlns:a="http://schemas.openxmlformats.org/drawingml/2006/main" xmlns:pic="http://schemas.openxmlformats.org/drawingml/2006/picture">
            <wp:extent cx="5486400" cy="8166457"/>
            <wp:docPr id="2" name="Picture 2"/>
            <wp:cNvGraphicFramePr>
              <a:graphicFrameLocks noChangeAspect="1"/>
            </wp:cNvGraphicFramePr>
            <a:graphic>
              <a:graphicData uri="http://schemas.openxmlformats.org/drawingml/2006/picture">
                <pic:pic>
                  <pic:nvPicPr>
                    <pic:cNvPr id="0" name="S 2325-2023 karta knärot.png"/>
                    <pic:cNvPicPr/>
                  </pic:nvPicPr>
                  <pic:blipFill>
                    <a:blip r:embed="rId17"/>
                    <a:stretch>
                      <a:fillRect/>
                    </a:stretch>
                  </pic:blipFill>
                  <pic:spPr>
                    <a:xfrm>
                      <a:off x="0" y="0"/>
                      <a:ext cx="5486400" cy="816645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6706606, E 563445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Rosa jodskinn (VU)</w:t>
      </w:r>
      <w:r>
        <w:t xml:space="preserve"> förekommer sällsynt på grova granlågor i äldre bördiga urskogsartade skogar. Arten hotas av brist på lämpligt substrat och att arealen naturskog minskar genom avverkning. Kända växtplatser måste skyddas (SLU Artdatabanken, 2026).</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gränsticka (VU, T), knärot (VU, T, §8), ostticka (VU, T), gropticka (NT, T), gullpudra (NT, T), mindre hackspett (NT, T, §4), motaggsvamp (NT, T), rosenticka (NT, T), rynkskinn (NT, T), stjärntagging (NT, T), tallticka (NT, T), tretåig hackspett (NT, T, §4), ullticka (NT, T), vårärt (NT, T), bollvitmossa (S, T), bronshjon (S, T), grovticka (S, T), grönpyrola (S, T), rostfläck (S, T), trådticka (S, T), vedticka (S, T), blåsippa (T, §9), bäckbräsma (T),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