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9150-2026 i Hedemora kommun</w:t>
      </w:r>
    </w:p>
    <w:p>
      <w:r>
        <w:t>Detta dokument behandlar höga naturvärden i avverkningsanmälan A 9150-2026 i Hedemora kommun. Denna avverkningsanmälan inkom 2026-02-17 00:00:00 och omfattar 0,9 ha.</w:t>
      </w:r>
    </w:p>
    <w:p>
      <w:r>
        <w:t>Nedan presenteras fynd av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Fridlysta arter</w:t>
      </w:r>
    </w:p>
    <w:p>
      <w:r>
        <w:t>Följande fridlysta arter har sina livsmiljöer och växtplatser i den avverkningsanmälda skogen: .</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0.28 ha med buffertzonerna och får av detta skäl inte avverkas.</w:t>
      </w:r>
    </w:p>
    <w:p>
      <w:pPr>
        <w:pStyle w:val="Caption"/>
      </w:pPr>
      <w:r>
        <w:drawing>
          <wp:inline xmlns:a="http://schemas.openxmlformats.org/drawingml/2006/main" xmlns:pic="http://schemas.openxmlformats.org/drawingml/2006/picture">
            <wp:extent cx="5486400" cy="6582447"/>
            <wp:docPr id="1" name="Picture 1"/>
            <wp:cNvGraphicFramePr>
              <a:graphicFrameLocks noChangeAspect="1"/>
            </wp:cNvGraphicFramePr>
            <a:graphic>
              <a:graphicData uri="http://schemas.openxmlformats.org/drawingml/2006/picture">
                <pic:pic>
                  <pic:nvPicPr>
                    <pic:cNvPr id="0" name="A 9150-2026 karta knärot.png"/>
                    <pic:cNvPicPr/>
                  </pic:nvPicPr>
                  <pic:blipFill>
                    <a:blip r:embed="rId16"/>
                    <a:stretch>
                      <a:fillRect/>
                    </a:stretch>
                  </pic:blipFill>
                  <pic:spPr>
                    <a:xfrm>
                      <a:off x="0" y="0"/>
                      <a:ext cx="5486400" cy="6582447"/>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6698602, E 554904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0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2026-05-02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