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1798-2022 i Hedemora kommun</w:t>
      </w:r>
    </w:p>
    <w:p>
      <w:r>
        <w:t>Denna tillsynsbegäran behandlar höga naturvärden i samrådsanmälan S 1798-2022 i Hedemora kommun som inkom 2022-04-04 och omfattar 16,0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S 1798-2022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6699822, E 566555 i SWEREF 99 TM.</w:t>
      </w:r>
    </w:p>
    <w:p>
      <w:r>
        <w:t>I och inom 11 meter från samrådsanmälan finns fynd av 21 naturvårdsarter, varav 11 är rödlistade, 8 är fridlysta, 13 är typiska (T) och 5 är signalarter (S): almsprängticka (VU), knärot (VU, T, §8), ulltickeporing (VU), mindre hackspett (NT, T, §4), nordfladdermus (NT, §4a), reliktbock (NT, T), rosenticka (NT, T), rynkskinn (NT, T), tallticka (NT, T), ullticka (NT, T), vintertagging (NT), bronshjon (S, T), mörk husmossa (S, T), skinnlav (S, T), trådticka (S, T), vedticka (S, T), spillkråka (T, §4), mustaschfladdermus (§4a), tajgafladdermus (§4a), vattenfladdermus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Almsprängticka (VU)</w:t>
      </w:r>
      <w:r>
        <w:t xml:space="preserve"> är en nedbrytare i ved under barken på alm, vanligen på grova levande träd. Växer i almskog, park, allé och blandad ädellövskog. Lätt att förbise eftersom fruktkropparna växer på insidan av barken. Total population i landet bedöms ha minskat och fortgående att minska kraftigt p.g.a. almsjukan. Minskningstakten överstiger gränsvärdet för sårbar (VU)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16 fyndplatser för knärot registrerade på Artportalen. Figur 2 visar gränserna för buffertzoner på 50 m, som behöver lämnas kring fyndplatserna för att knärotslokalerna inte ska försvinna vid en avverkning. Av det samrådsanmälda området överlappar 4.86 ha med buffertzonerna och får av detta skäl inte avverkas.</w:t>
      </w:r>
    </w:p>
    <w:p>
      <w:pPr>
        <w:pStyle w:val="Caption"/>
      </w:pPr>
      <w:r>
        <w:drawing>
          <wp:inline xmlns:a="http://schemas.openxmlformats.org/drawingml/2006/main" xmlns:pic="http://schemas.openxmlformats.org/drawingml/2006/picture">
            <wp:extent cx="5486400" cy="5054652"/>
            <wp:docPr id="2" name="Picture 2"/>
            <wp:cNvGraphicFramePr>
              <a:graphicFrameLocks noChangeAspect="1"/>
            </wp:cNvGraphicFramePr>
            <a:graphic>
              <a:graphicData uri="http://schemas.openxmlformats.org/drawingml/2006/picture">
                <pic:pic>
                  <pic:nvPicPr>
                    <pic:cNvPr id="0" name="S 1798-2022 karta knärot.png"/>
                    <pic:cNvPicPr/>
                  </pic:nvPicPr>
                  <pic:blipFill>
                    <a:blip r:embed="rId17"/>
                    <a:stretch>
                      <a:fillRect/>
                    </a:stretch>
                  </pic:blipFill>
                  <pic:spPr>
                    <a:xfrm>
                      <a:off x="0" y="0"/>
                      <a:ext cx="5486400" cy="505465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6699822, E 566555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Mustaschfladdermus (§4a)</w:t>
      </w:r>
      <w:r>
        <w:t xml:space="preserve"> omfattas av bilaga 4 EU:s art- och habitatdirektiv vilket innebär ett strikt skydd för arten och dess livsmiljöer. Den födosöker i barr- och lövskog och jagar ofta i sumpskogar och blöta skogar. Under den ljusa delen av året, dvs. under kolonitiden, rör sig mustaschfladdermusen inom ett mycket litet område, oftast max 1 km från kolonin och undviker att flyga i öppna områden. Den jagar både nära marken och uppe i trädkronorna. I ett varierat landskap med hög andel äldre lövträd, småvatten, sumpskogar, öppna våtmarker, ängar och betesmarker avlöser olika insektsgrupper varandra vilket gör att det hela tiden finns tillräckligt med föda. För mustaschfladdermusen är det särskilt värdefullt att bevara eller skapa sumpskogar och andra blöta skogar med många ihåliga träd. Mustaschfladdermus är typisk art för </w:t>
      </w:r>
      <w:r>
        <w:rPr>
          <w:i/>
        </w:rPr>
        <w:t>8310 Grottor</w:t>
      </w:r>
      <w:r>
        <w:t xml:space="preserve"> och </w:t>
      </w:r>
      <w:r>
        <w:rPr>
          <w:i/>
        </w:rPr>
        <w:t>8330 Havsgrottor</w:t>
      </w:r>
      <w:r>
        <w:t xml:space="preserve"> (SLU Artdatabanken, 2024).</w:t>
      </w:r>
    </w:p>
    <w:p>
      <w:r>
        <w:rPr>
          <w:b/>
        </w:rPr>
        <w:t>Tajgafladdermus (§4a)</w:t>
      </w:r>
      <w:r>
        <w:t xml:space="preserve"> omfattas av bilaga 4 EU:s art- och habitatdirektiv vilket innebär ett strikt skydd för arten och dess livsmiljöer. Tajgafladdermusen är på alla sätt mycket lik den närstående arten mustaschfladdermus och påträffas i alla skogstyper, men förekomsten är störst vid sumpskogar och blöta skogar. Den jagar såväl nära marken som uppe i trädkronorna. Under kolonitiden rör sig tajgafladdermusen inom ett mycket litet område, oftast max 1 km från kolonin och undviker att flyga i öppna områden. För tajgafladdermusen är det särskilt värdefullt att bevara eller skapa sumpskogar och andra blöta skogar med många ihåliga träd. Tajgafladdermus är typisk art för </w:t>
      </w:r>
      <w:r>
        <w:rPr>
          <w:i/>
        </w:rPr>
        <w:t>8310 Grottor</w:t>
      </w:r>
      <w:r>
        <w:t xml:space="preserve"> och </w:t>
      </w:r>
      <w:r>
        <w:rPr>
          <w:i/>
        </w:rPr>
        <w:t>8330 Havsgrottor</w:t>
      </w:r>
      <w:r>
        <w:t xml:space="preserve">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mindre hackspett (NT, T, §4), reliktbock (NT, T), rosenticka (NT, T), rynkskinn (NT, T), tallticka (NT, T), ullticka (NT, T), bronshjon (S, T), mörk husmossa (S, T), skinnlav (S, T), trådticka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