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54120-2024 i Hedemora kommun</w:t>
      </w:r>
    </w:p>
    <w:p>
      <w:r>
        <w:t>Detta klagomål behandlar höga naturvärden i avverkningsanmälan A 54120-2024 i Hedemora kommun som inkom 2024-11-20 och omfattar 7,7 ha.</w:t>
      </w:r>
    </w:p>
    <w:p>
      <w:pPr>
        <w:pStyle w:val="Caption"/>
      </w:pPr>
      <w:r>
        <w:drawing>
          <wp:inline xmlns:a="http://schemas.openxmlformats.org/drawingml/2006/main" xmlns:pic="http://schemas.openxmlformats.org/drawingml/2006/picture">
            <wp:extent cx="4345126" cy="5724000"/>
            <wp:docPr id="1" name="Picture 1"/>
            <wp:cNvGraphicFramePr>
              <a:graphicFrameLocks noChangeAspect="1"/>
            </wp:cNvGraphicFramePr>
            <a:graphic>
              <a:graphicData uri="http://schemas.openxmlformats.org/drawingml/2006/picture">
                <pic:pic>
                  <pic:nvPicPr>
                    <pic:cNvPr id="0" name="A 54120-2024 karta.png"/>
                    <pic:cNvPicPr/>
                  </pic:nvPicPr>
                  <pic:blipFill>
                    <a:blip r:embed="rId16"/>
                    <a:stretch>
                      <a:fillRect/>
                    </a:stretch>
                  </pic:blipFill>
                  <pic:spPr>
                    <a:xfrm>
                      <a:off x="0" y="0"/>
                      <a:ext cx="4345126"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6690696, E 546489 i SWEREF 99 TM.</w:t>
      </w:r>
    </w:p>
    <w:p>
      <w:r>
        <w:t>I och inom 1 meter från avverkningsanmälan finns fynd av 11 naturvårdsarter, varav 8 är rödlistade, 1 är fridlyst, 8 är typiska (T) och 3 är signalarter (S): grangråticka (VU, T), gul taggsvamp (VU, T), knärot (VU, T, §8), dofttaggsvamp (NT, T), fjällig taggsvamp s.str. (NT), rosenticka (NT, T), rynkskinn (NT, T), ullticka (NT, T), diskvaxskivling (S), svavelriska (S)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2.29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54120-2024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6690696, E 546489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