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ulltickeporing (VU), garnlav (NT), granticka (NT), Leptoporus mollis (NT), rosenticka (NT), spillkråka (NT, §4), talltita (NT, §4), ullticka (NT), violettgrå tagellav (NT), björksplintborre (S), bollvitmossa (S), bronshjon (S), bågpraktmossa (S), fjällig taggsvamp s.str. (S), granbarkgnagare (S), kattfotslav (S), mörk husmossa (S), rödgul trumpetsvamp (S), svavelriska (S), thomsons trägnagare (S), trådticka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83 fyndplatser för knärot registrerade på Artportalen. Figur 2 visar gränserna för buffertzoner på 50 m, som behöver lämnas kring fyndplatserna för att knärotslokalerna inte ska försvinna vid en avverkning. Av det avverkningsanmälda området överlappar 11.41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