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34102-2026 i Hedemora kommun</w:t>
      </w:r>
    </w:p>
    <w:p>
      <w:r>
        <w:t>Denna tillsynsbegäran behandlar höga naturvärden i avverkningsanmälan A 34102-2026 i Hedemora kommun som inkom 2026-08-17 och omfattar 4,2 ha.</w:t>
      </w:r>
    </w:p>
    <w:p>
      <w:pPr>
        <w:pStyle w:val="Caption"/>
      </w:pPr>
      <w:r>
        <w:drawing>
          <wp:inline xmlns:a="http://schemas.openxmlformats.org/drawingml/2006/main" xmlns:pic="http://schemas.openxmlformats.org/drawingml/2006/picture">
            <wp:extent cx="5486400" cy="4208125"/>
            <wp:docPr id="1" name="Picture 1"/>
            <wp:cNvGraphicFramePr>
              <a:graphicFrameLocks noChangeAspect="1"/>
            </wp:cNvGraphicFramePr>
            <a:graphic>
              <a:graphicData uri="http://schemas.openxmlformats.org/drawingml/2006/picture">
                <pic:pic>
                  <pic:nvPicPr>
                    <pic:cNvPr id="0" name="A 34102-2026 karta.png"/>
                    <pic:cNvPicPr/>
                  </pic:nvPicPr>
                  <pic:blipFill>
                    <a:blip r:embed="rId16"/>
                    <a:stretch>
                      <a:fillRect/>
                    </a:stretch>
                  </pic:blipFill>
                  <pic:spPr>
                    <a:xfrm>
                      <a:off x="0" y="0"/>
                      <a:ext cx="5486400" cy="42081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6686869, E 567206 i SWEREF 99 TM.</w:t>
      </w:r>
    </w:p>
    <w:p>
      <w:r>
        <w:t>I avverkningsanmälan finns fynd av 8 naturvårdsarter, varav 1 är rödlistad, 2 är fridlysta, 5 är typiska (T) och 3 är signalarter (S): ullticka (NT, T), bronshjon (S, T), rödgul trumpetsvamp (S), thomsons trägnagare (S), kransmossa (T), kötticka (T), spillkråka (T, §4)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ullticka (NT, T), bronshjon (S, T), kransmossa (T), kötticka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