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34928-2024 i Hedemora kommun</w:t>
      </w:r>
    </w:p>
    <w:p>
      <w:r>
        <w:t>Detta klagomål behandlar höga naturvärden i avverkningsanmälan A 34928-2024 i Hedemora kommun som inkom 2024-08-23 och omfattar 2,8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34928-2024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6683323, E 564823 i SWEREF 99 TM.</w:t>
      </w:r>
    </w:p>
    <w:p>
      <w:r>
        <w:t>I och inom 23 meter från avverkningsanmälan finns fynd av 10 naturvårdsarter, varav 6 är rödlistade, 2 är fridlysta, 4 är typiska (T) och 2 är signalarter (S): sammetstaggsvamp (EN), violgubbe (EN), gul taggsvamp (VU, T), dofttaggsvamp (NT, T), gultoppig fingersvamp (NT), puderspindling (NT), olivspindling (S), svavelriska (S),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