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54120-2024 i Hedemora kommun</w:t>
      </w:r>
    </w:p>
    <w:p>
      <w:r>
        <w:t>Denna tillsynsbegäran behandlar höga naturvärden i avverkningsanmälan A 54120-2024 i Hedemora kommun som inkom 2024-11-20 och omfattar 7,7 ha.</w:t>
      </w:r>
    </w:p>
    <w:p>
      <w:pPr>
        <w:pStyle w:val="Caption"/>
      </w:pPr>
      <w:r>
        <w:drawing>
          <wp:inline xmlns:a="http://schemas.openxmlformats.org/drawingml/2006/main" xmlns:pic="http://schemas.openxmlformats.org/drawingml/2006/picture">
            <wp:extent cx="4345126" cy="5724000"/>
            <wp:docPr id="1" name="Picture 1"/>
            <wp:cNvGraphicFramePr>
              <a:graphicFrameLocks noChangeAspect="1"/>
            </wp:cNvGraphicFramePr>
            <a:graphic>
              <a:graphicData uri="http://schemas.openxmlformats.org/drawingml/2006/picture">
                <pic:pic>
                  <pic:nvPicPr>
                    <pic:cNvPr id="0" name="A 54120-2024 karta.png"/>
                    <pic:cNvPicPr/>
                  </pic:nvPicPr>
                  <pic:blipFill>
                    <a:blip r:embed="rId16"/>
                    <a:stretch>
                      <a:fillRect/>
                    </a:stretch>
                  </pic:blipFill>
                  <pic:spPr>
                    <a:xfrm>
                      <a:off x="0" y="0"/>
                      <a:ext cx="4345126" cy="5724000"/>
                    </a:xfrm>
                    <a:prstGeom prst="rect"/>
                  </pic:spPr>
                </pic:pic>
              </a:graphicData>
            </a:graphic>
          </wp:inline>
        </w:drawing>
      </w:r>
    </w:p>
    <w:p>
      <w:pPr>
        <w:pStyle w:val="Caption"/>
        <w:spacing w:after="240"/>
      </w:pPr>
      <w:r>
        <w:t>Figur 1. Fyndplatser för naturvårdsarter i och inom 1 meter från avverkningsanmälan. Markörer utan svart kant är placerade på fyndplatsen. Markörer med svart kant är placerade vid sidan av fyndplatsen och har ett svart streck som visar fyndplatsens exakta position. Kartans mittpunktskoordinat är N 6690696, E 546489 i SWEREF 99 TM.</w:t>
      </w:r>
    </w:p>
    <w:p>
      <w:r>
        <w:t>I och inom 1 meter från avverkningsanmälan finns fynd av 11 naturvårdsarter, varav 8 är rödlistade, 1 är fridlyst, 8 är typiska (T) och 3 är signalarter (S): grangråticka (VU, T), gul taggsvamp (VU, T), knärot (VU, T, §8), dofttaggsvamp (NT, T), fjällig taggsvamp s.str. (NT), rosenticka (NT, T), rynkskinn (NT, T), ullticka (NT, T), diskvaxskivling (S), svavelriska (S) och trådticka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Grangråticka (VU)</w:t>
      </w:r>
      <w:r>
        <w:t xml:space="preserve"> bildar mykorrhiza med gran och påträffas på kalkrik mark i örtrika granskogar med t.ex. blåsippa, harsyra och ekorrbär i fältskiktet. Arten är beroende av långvarig kontinuitet av äldre gran och tål ingen slutavverkning (kalhuggning). Lokaler med grangråticka är alltid skyddsvärda och bör skötas med stor varsamhet. Grangråticka är typisk art för </w:t>
      </w:r>
      <w:r>
        <w:rPr>
          <w:i/>
        </w:rPr>
        <w:t>9050 Näringsrik granskog</w:t>
      </w:r>
      <w:r>
        <w:t xml:space="preserve"> (SLU Artdatabanken, 2024; Nitare &amp; Skogsstyrelsen, 2019).</w:t>
      </w:r>
    </w:p>
    <w:p>
      <w:r>
        <w:rPr>
          <w:b/>
        </w:rPr>
        <w:t xml:space="preserve">Gul taggsvamp (VU) </w:t>
      </w:r>
      <w:r>
        <w:t xml:space="preserve">bildar mykorrhiza med gran i äldre barrskog med lång kontinuitet. Förekommer på kalkrik eller annan basiskt påverkad mark, ofta i källpåverkade miljöer. Den totala populationen i landet har minskat kraftigt och bedöms fortsätta minska till följd av avverkning av äldre barrskog med lång trädkontinuitet. Minskningstakten överstiger gränsvärdet för sårbar (VU). Arten tål inte en slutavverkning utan kräver ett kontinuerligt äldre trädskikt med gran. Slutavverkning, kraftig gallring och skogsmarksgödsling måste helt undvikas och lokalerna bör skyddas formellt. Gul taggsvamp är typisk art för </w:t>
      </w:r>
      <w:r>
        <w:rPr>
          <w:i/>
        </w:rPr>
        <w:t>9050 Näringsrik granskog</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2.29 ha med buffertzonerna och får av detta skäl inte avverkas.</w:t>
      </w:r>
    </w:p>
    <w:p>
      <w:pPr>
        <w:pStyle w:val="Caption"/>
      </w:pPr>
      <w:r>
        <w:drawing>
          <wp:inline xmlns:a="http://schemas.openxmlformats.org/drawingml/2006/main" xmlns:pic="http://schemas.openxmlformats.org/drawingml/2006/picture">
            <wp:extent cx="5486400" cy="10972800"/>
            <wp:docPr id="2" name="Picture 2"/>
            <wp:cNvGraphicFramePr>
              <a:graphicFrameLocks noChangeAspect="1"/>
            </wp:cNvGraphicFramePr>
            <a:graphic>
              <a:graphicData uri="http://schemas.openxmlformats.org/drawingml/2006/picture">
                <pic:pic>
                  <pic:nvPicPr>
                    <pic:cNvPr id="0" name="A 54120-2024 karta knärot.png"/>
                    <pic:cNvPicPr/>
                  </pic:nvPicPr>
                  <pic:blipFill>
                    <a:blip r:embed="rId17"/>
                    <a:stretch>
                      <a:fillRect/>
                    </a:stretch>
                  </pic:blipFill>
                  <pic:spPr>
                    <a:xfrm>
                      <a:off x="0" y="0"/>
                      <a:ext cx="5486400" cy="1097280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6690696, E 546489 i SWEREF 99 TM.</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grangråticka (VU, T), gul taggsvamp (VU, T), knärot (VU, T, §8), dofttaggsvamp (NT, T), rosenticka (NT, T), rynkskinn (NT, T), ullticka (NT, T) och trådticka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