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34929-2024 i Hedemora kommun</w:t>
      </w:r>
    </w:p>
    <w:p>
      <w:r>
        <w:t>Detta klagomål behandlar höga naturvärden i avverkningsanmälan A 34929-2024 i Hedemora kommun som inkom 2024-08-23 och omfattar 5,1 ha.</w:t>
      </w:r>
    </w:p>
    <w:p>
      <w:pPr>
        <w:pStyle w:val="Caption"/>
      </w:pPr>
      <w:r>
        <w:drawing>
          <wp:inline xmlns:a="http://schemas.openxmlformats.org/drawingml/2006/main" xmlns:pic="http://schemas.openxmlformats.org/drawingml/2006/picture">
            <wp:extent cx="4685419" cy="5724000"/>
            <wp:docPr id="1" name="Picture 1"/>
            <wp:cNvGraphicFramePr>
              <a:graphicFrameLocks noChangeAspect="1"/>
            </wp:cNvGraphicFramePr>
            <a:graphic>
              <a:graphicData uri="http://schemas.openxmlformats.org/drawingml/2006/picture">
                <pic:pic>
                  <pic:nvPicPr>
                    <pic:cNvPr id="0" name="A 34929-2024 karta.png"/>
                    <pic:cNvPicPr/>
                  </pic:nvPicPr>
                  <pic:blipFill>
                    <a:blip r:embed="rId16"/>
                    <a:stretch>
                      <a:fillRect/>
                    </a:stretch>
                  </pic:blipFill>
                  <pic:spPr>
                    <a:xfrm>
                      <a:off x="0" y="0"/>
                      <a:ext cx="4685419"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6683347, E 564757 i SWEREF 99 TM.</w:t>
      </w:r>
    </w:p>
    <w:p>
      <w:r>
        <w:t>I och inom 24 meter från avverkningsanmälan finns fynd av 12 naturvårdsarter, varav 5 är rödlistade, 2 är fridlysta, 6 är typiska (T) och 5 är signalarter (S): sammetstaggsvamp (EN), violgubbe (EN), gul taggsvamp (VU, T), dofttaggsvamp (NT, T), gultoppig fingersvamp (NT), olivspindling (S), rödgul trumpetsvamp (S), skogsknipprot (S, T, §8), svart trolldruva (S, T), svavelriska (S), blåsippa (T, §9) och svarta vinbär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Sammetstaggsvamp (EN) </w:t>
      </w:r>
      <w:r>
        <w:t>är en starkt hotad art som</w:t>
      </w:r>
      <w:r>
        <w:rPr>
          <w:b/>
        </w:rPr>
        <w:t xml:space="preserve"> </w:t>
      </w:r>
      <w:r>
        <w:t>bildar mykorrhiza med gran, i örtrik kalkgranskog eller annan bördig granskog av lågörtstyp. Arten ingår i ett åtgärdsprogram för hotade arter (ÅGP) och samtliga växtplatser måste undantas från storskaligt skogsbruk. Lokalerna bör bevakas, följas upp och skyddas formellt.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2026; Nitare &amp; Skogsstyrelsen, 2019; Nitare, 2006).</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Svarta vinbär</w:t>
      </w:r>
      <w:r>
        <w:t xml:space="preserve"> är typisk art för </w:t>
      </w:r>
      <w:r>
        <w:rPr>
          <w:i/>
        </w:rPr>
        <w:t xml:space="preserve">9050 Näringsrik granskog </w:t>
      </w:r>
      <w:r>
        <w:t>och</w:t>
      </w:r>
      <w:r>
        <w:rPr>
          <w:i/>
        </w:rPr>
        <w:t xml:space="preserve"> 6430 Högörtängar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