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478-2025 i Hedemora kommun</w:t>
      </w:r>
    </w:p>
    <w:p>
      <w:r>
        <w:t>Detta klagomål behandlar höga naturvärden i samrådsanmälan S 478-2025 i Hedemora kommun som inkom 2025-02-14 och omfattar 51,6 ha.</w:t>
      </w:r>
    </w:p>
    <w:p>
      <w:pPr>
        <w:pStyle w:val="Caption"/>
      </w:pPr>
      <w:r>
        <w:drawing>
          <wp:inline xmlns:a="http://schemas.openxmlformats.org/drawingml/2006/main" xmlns:pic="http://schemas.openxmlformats.org/drawingml/2006/picture">
            <wp:extent cx="4453311" cy="5724000"/>
            <wp:docPr id="1" name="Picture 1"/>
            <wp:cNvGraphicFramePr>
              <a:graphicFrameLocks noChangeAspect="1"/>
            </wp:cNvGraphicFramePr>
            <a:graphic>
              <a:graphicData uri="http://schemas.openxmlformats.org/drawingml/2006/picture">
                <pic:pic>
                  <pic:nvPicPr>
                    <pic:cNvPr id="0" name="S 478-2025 karta.png"/>
                    <pic:cNvPicPr/>
                  </pic:nvPicPr>
                  <pic:blipFill>
                    <a:blip r:embed="rId16"/>
                    <a:stretch>
                      <a:fillRect/>
                    </a:stretch>
                  </pic:blipFill>
                  <pic:spPr>
                    <a:xfrm>
                      <a:off x="0" y="0"/>
                      <a:ext cx="445331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6703465, E 554336 i SWEREF 99 TM.</w:t>
      </w:r>
    </w:p>
    <w:p>
      <w:r>
        <w:t>I samrådsanmälan finns fynd av 6 naturvårdsarter, varav 2 är rödlistade, 6 är fridlysta och 1 är typisk (T): tornseglare (VU, §4), duvhök (NT, §4), spillkråka (T, §4), grönsiska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