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58548-2022 i Hedemora kommun</w:t>
      </w:r>
    </w:p>
    <w:p>
      <w:r>
        <w:t>Detta dokument behandlar höga naturvärden i avverkningsanmälan A 58548-2022 i Hedemora kommun. Denna avverkningsanmälan inkom 2022-12-07 00:00:00 och omfattar 12,6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33 naturvårdsarter hittats: finporing (VU), knärot (VU, §8), rostskinn (VU), rynkskinn (VU), ulltickeporing (VU), vågticka (VU), garnlav (NT), granticka (NT), kilporing (NT), Leptoporus mollis (NT), rosenticka (NT), spillkråka (NT, §4), talltita (NT, §4), ullticka (NT), violettgrå tagellav (NT), björksplintborre (S), bollvitmossa (S), bronshjon (S), bågpraktmossa (S), fjällig taggsvamp s.str. (S), granbarkgnagare (S), kattfotslav (S), källpraktmossa (S), mörk husmossa (S), rödgul trumpetsvamp (S), skogshakmossa (S), sotriska (S), svavelriska (S), thomsons trägnagare (S), trådticka (S), vedticka (S), blåsippa (§9) och revlummer (§9).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5258"/>
            <wp:docPr id="1" name="Picture 1"/>
            <wp:cNvGraphicFramePr>
              <a:graphicFrameLocks noChangeAspect="1"/>
            </wp:cNvGraphicFramePr>
            <a:graphic>
              <a:graphicData uri="http://schemas.openxmlformats.org/drawingml/2006/picture">
                <pic:pic>
                  <pic:nvPicPr>
                    <pic:cNvPr id="0" name="A 58548-2022 karta.png"/>
                    <pic:cNvPicPr/>
                  </pic:nvPicPr>
                  <pic:blipFill>
                    <a:blip r:embed="rId16"/>
                    <a:stretch>
                      <a:fillRect/>
                    </a:stretch>
                  </pic:blipFill>
                  <pic:spPr>
                    <a:xfrm>
                      <a:off x="0" y="0"/>
                      <a:ext cx="5486400" cy="50552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6704948, E 563980 i SWEREF 99 TM.</w:t>
      </w:r>
    </w:p>
    <w:p>
      <w:r>
        <w:rPr>
          <w:b/>
        </w:rPr>
        <w:t xml:space="preserve">Bollvitmossa </w:t>
      </w:r>
      <w:r>
        <w:t>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(Nitare &amp; Skogsstyrelsen, 2019).</w:t>
      </w:r>
    </w:p>
    <w:p>
      <w:r>
        <w:rPr>
          <w:b/>
        </w:rPr>
        <w:t xml:space="preserve">Bågpraktmossa </w:t>
      </w:r>
      <w:r>
        <w:t>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r>
        <w:rPr>
          <w:b/>
        </w:rPr>
        <w:t>Kilporing (NT)</w:t>
      </w:r>
      <w:r>
        <w:t xml:space="preserve"> växer på barken av döda liggande grova stammar av tall och gran som är förrötade av tickor som violticka </w:t>
      </w:r>
      <w:r>
        <w:rPr>
          <w:i/>
        </w:rPr>
        <w:t>Trichaptum spp</w:t>
      </w:r>
      <w:r>
        <w:t>. Avverkning av naturskogslika miljöer och av grova granar där svampen förekommer är ett direkt hot mot artens fortlevnad. Arten gynnas av om fler barrskogar avsätts till fri utveckling (SLU Artdatabanken, 2024).</w:t>
      </w:r>
    </w:p>
    <w:p>
      <w:r>
        <w:rPr>
          <w:b/>
          <w:i/>
        </w:rPr>
        <w:t xml:space="preserve">Leptoporus mollis </w:t>
      </w:r>
      <w:r>
        <w:rPr>
          <w:b/>
        </w:rPr>
        <w:t>(NT)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 xml:space="preserve">Rostskinn (VU) </w:t>
      </w:r>
      <w:r>
        <w:t>är en mycket sällsynt vednedbrytare i liggande, murkna stammar av gran och tall i frisk till fuktig barrskog. Artens missgynnas av avverkning och minskad tillgång på döda träd. Arten bör eftersökas i lämpliga naturskogar i Norrland så att dess status bättre kan beläggas. I väntan på detta bör alla kända växtplatser hållas under uppsikt och skydd övervägas vid påkallat behov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r>
        <w:rPr>
          <w:b/>
        </w:rPr>
        <w:t xml:space="preserve">Vågticka (VU) </w:t>
      </w:r>
      <w:r>
        <w:t>är knuten till kontinuitetsgranskogar med mycket död ved. Tidigare ansågs den som ytterst sällsynt men har nu blivit påträffad så många gånger att hotbilden eventuellt förändrats. Fortfarande är dock arten att anse som sårbar eftersom den fordrar rik tillgång till främst granlågor, ett substrat som minskat kraftigt i våra skogar. Vågtickans status bör ytterligare utredas. I väntan på detta måste fler av artens kända växtplatser säkerställas (SLU Artdatabanken, 2024).</w:t>
      </w:r>
    </w:p>
    <w:p>
      <w:pPr>
        <w:pStyle w:val="Heading1"/>
      </w:pPr>
      <w:r>
        <w:t>Fridlysta arter</w:t>
      </w:r>
    </w:p>
    <w:p>
      <w:r>
        <w:t>Följande fridlysta arter har sina livsmiljöer och växtplatser i den avverkningsanmälda skogen: knärot (VU, §8), spillkråka (NT, §4), talltita (NT, §4),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88 fyndplatser för knärot registrerade på Artportalen. Figur 2 visar gränserna för buffertzoner på 50 m, som behöver lämnas kring fyndplatserna för att knärotslokalerna inte ska försvinna vid en avverkning. Av det avverkningsanmälda området överlappar 11.63 ha med buffertzonerna och får av detta skäl inte avverkas.</w:t>
      </w:r>
    </w:p>
    <w:p>
      <w:pPr>
        <w:pStyle w:val="Caption"/>
      </w:pPr>
      <w:r>
        <w:drawing>
          <wp:inline xmlns:a="http://schemas.openxmlformats.org/drawingml/2006/main" xmlns:pic="http://schemas.openxmlformats.org/drawingml/2006/picture">
            <wp:extent cx="5486400" cy="6388493"/>
            <wp:docPr id="2" name="Picture 2"/>
            <wp:cNvGraphicFramePr>
              <a:graphicFrameLocks noChangeAspect="1"/>
            </wp:cNvGraphicFramePr>
            <a:graphic>
              <a:graphicData uri="http://schemas.openxmlformats.org/drawingml/2006/picture">
                <pic:pic>
                  <pic:nvPicPr>
                    <pic:cNvPr id="0" name="A 58548-2022 karta knärot.png"/>
                    <pic:cNvPicPr/>
                  </pic:nvPicPr>
                  <pic:blipFill>
                    <a:blip r:embed="rId17"/>
                    <a:stretch>
                      <a:fillRect/>
                    </a:stretch>
                  </pic:blipFill>
                  <pic:spPr>
                    <a:xfrm>
                      <a:off x="0" y="0"/>
                      <a:ext cx="5486400" cy="63884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6704948, E 563980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33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