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finporing (VU), knärot (VU, §8), rostskinn (VU), rynkskinn (VU), ulltickeporing (VU), vågticka (VU), garnlav (NT), granticka (NT), kilporing (NT), Leptoporus mollis (NT), rosenticka (NT), spillkråka (NT, §4), talltita (NT, §4), ullticka (NT), violettgrå tagellav (NT), björksplintborre (S), bollvitmossa (S), bronshjon (S), bågpraktmossa (S), fjällig taggsvamp s.str. (S), granbarkgnagare (S), kattfotslav (S), källpraktmossa (S), mörk husmossa (S), rödgul trumpetsvamp (S), skogshakmossa (S), sotriska (S), svavelriska (S), thomsons trägnagare (S), trådticka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88 fyndplatser för knärot registrerade på Artportalen. Figur 2 visar gränserna för buffertzoner på 50 m, som behöver lämnas kring fyndplatserna för att knärotslokalerna inte ska försvinna vid en avverkning. Av det avverkningsanmälda området överlappar 11.63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