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5827-2026 i Hedemora kommun</w:t>
      </w:r>
    </w:p>
    <w:p>
      <w:r>
        <w:t>Detta dokument behandlar höga naturvärden i avverkningsanmälan A 5827-2026 i Hedemora kommun. Denna avverkningsanmälan inkom 2026-01-29 00:00:00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gul taggsvamp (NT), vedtrappmossa (NT), nästlav (S), rödgul trumpetsvamp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1445"/>
            <wp:docPr id="1" name="Picture 1"/>
            <wp:cNvGraphicFramePr>
              <a:graphicFrameLocks noChangeAspect="1"/>
            </wp:cNvGraphicFramePr>
            <a:graphic>
              <a:graphicData uri="http://schemas.openxmlformats.org/drawingml/2006/picture">
                <pic:pic>
                  <pic:nvPicPr>
                    <pic:cNvPr id="0" name="A 5827-2026 karta.png"/>
                    <pic:cNvPicPr/>
                  </pic:nvPicPr>
                  <pic:blipFill>
                    <a:blip r:embed="rId16"/>
                    <a:stretch>
                      <a:fillRect/>
                    </a:stretch>
                  </pic:blipFill>
                  <pic:spPr>
                    <a:xfrm>
                      <a:off x="0" y="0"/>
                      <a:ext cx="5486400" cy="3491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6702995, E 563981 i SWEREF 99 TM.</w:t>
      </w:r>
    </w:p>
    <w:p>
      <w:r>
        <w:rPr>
          <w:b/>
        </w:rPr>
        <w:t xml:space="preserve">Gul taggsvamp (NT) </w:t>
      </w:r>
      <w:r>
        <w:t xml:space="preserve">bildar mykorrhiza med gran helst på kalkrik mark, gärna i fuktig äldre ängsgranskog. Slutavverkning och markberedning missgynnar arten och fler områden med äldre skog på näringsrik mark, framför allt i södra och mellersta Sverige, behöver bevaras. Gul taggsvamp är typisk art för </w:t>
      </w:r>
      <w:r>
        <w:rPr>
          <w:i/>
        </w:rPr>
        <w:t>9050 Näringsrik granskog</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