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38724-2025 i Hedemora kommun</w:t>
      </w:r>
    </w:p>
    <w:p>
      <w:r>
        <w:t>Detta klagomål behandlar höga naturvärden i avverkningsanmälan A 38724-2025 i Hedemora kommun som inkom 2025-08-18 och omfattar 5,0 ha.</w:t>
      </w:r>
    </w:p>
    <w:p>
      <w:pPr>
        <w:pStyle w:val="Caption"/>
      </w:pPr>
      <w:r>
        <w:drawing>
          <wp:inline xmlns:a="http://schemas.openxmlformats.org/drawingml/2006/main" xmlns:pic="http://schemas.openxmlformats.org/drawingml/2006/picture">
            <wp:extent cx="5486400" cy="5160124"/>
            <wp:docPr id="1" name="Picture 1"/>
            <wp:cNvGraphicFramePr>
              <a:graphicFrameLocks noChangeAspect="1"/>
            </wp:cNvGraphicFramePr>
            <a:graphic>
              <a:graphicData uri="http://schemas.openxmlformats.org/drawingml/2006/picture">
                <pic:pic>
                  <pic:nvPicPr>
                    <pic:cNvPr id="0" name="A 38724-2025 karta.png"/>
                    <pic:cNvPicPr/>
                  </pic:nvPicPr>
                  <pic:blipFill>
                    <a:blip r:embed="rId16"/>
                    <a:stretch>
                      <a:fillRect/>
                    </a:stretch>
                  </pic:blipFill>
                  <pic:spPr>
                    <a:xfrm>
                      <a:off x="0" y="0"/>
                      <a:ext cx="5486400" cy="516012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6680496, E 558911 i SWEREF 99 TM.</w:t>
      </w:r>
    </w:p>
    <w:p>
      <w:r>
        <w:t>I och inom 3 meter från avverkningsanmälan finns fynd av 10 naturvårdsarter, varav 6 är rödlistade, 1 är typisk (T) och 4 är signalarter (S): gul taggsvamp (VU, T), läderdoftande fingersvamp (VU), fjällig taggsvamp s.str. (NT), odörspindling (NT), skarp dropptaggsvamp (NT), sotvaxskivling (NT), diskvaxskivling (S), olivspindling (S), strimspindling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