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34929-2024 i Hedemora kommun</w:t>
      </w:r>
    </w:p>
    <w:p>
      <w:r>
        <w:t>Detta dokument behandlar höga naturvärden i avverkningsanmälan A 34929-2024 i Hedemora kommun. Denna avverkningsanmälan inkom 2024-08-23 10:46:30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sammetstaggsvamp (VU), gul taggsvamp (NT), gultoppig fingersvamp (NT), svart taggsvamp (NT), olivspindling (S), rödgul trumpetsvamp (S), skogsknipprot (S, §8), svavelriska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34929-2024 karta.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6683347, E 564757 i SWEREF 99 TM.</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Sammetstaggsvamp (VU) </w:t>
      </w:r>
      <w:r>
        <w:t>bildar mykorrhiza med gran, i örtrik kalkgranskog eller annan bördig granskog av lågörtstyp. Arten ingår i ett åtgärdsprogram för hotade arter (ÅGP) och samtliga växtplatser måste undantas från rationellt skogsbruk. För att på lång sikt öka artens möjligheter att överleva måste fler, äldre barrskogspartier på kalkrik mark skyddas. Sammetstaggsvamp är globalt rödlistad som sårbar (VU) och Sverige hyser sannolikt en stor andel av svampens hela europeiska population, vilket medför ett särskilt stort nationellt och internationellt ansvar för artens bevarande (IUCN, 2025;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