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54849-2022 i Hedemora kommun</w:t>
      </w:r>
    </w:p>
    <w:p>
      <w:r>
        <w:t>Detta dokument behandlar höga naturvärden i avverkningsanmälan A 54849-2022 i Hedemora kommun. Denna avverkningsanmälan inkom 2022-11-18 00:00:00 och omfattar 8,5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2 naturvårdsarter hittats: garnlav (NT) och talltita (NT, §4). Av dessa är 2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00389"/>
            <wp:docPr id="1" name="Picture 1"/>
            <wp:cNvGraphicFramePr>
              <a:graphicFrameLocks noChangeAspect="1"/>
            </wp:cNvGraphicFramePr>
            <a:graphic>
              <a:graphicData uri="http://schemas.openxmlformats.org/drawingml/2006/picture">
                <pic:pic>
                  <pic:nvPicPr>
                    <pic:cNvPr id="0" name="A 54849-2022 karta.png"/>
                    <pic:cNvPicPr/>
                  </pic:nvPicPr>
                  <pic:blipFill>
                    <a:blip r:embed="rId16"/>
                    <a:stretch>
                      <a:fillRect/>
                    </a:stretch>
                  </pic:blipFill>
                  <pic:spPr>
                    <a:xfrm>
                      <a:off x="0" y="0"/>
                      <a:ext cx="5486400" cy="4100389"/>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6694414, E 570979 i SWEREF 99 TM.</w:t>
      </w:r>
    </w:p>
    <w:p>
      <w:r>
        <w:rPr>
          <w:b/>
        </w:rPr>
        <w:t>Garnlav (NT)</w:t>
      </w:r>
      <w:r>
        <w:t xml:space="preserve"> är en utpräglad barrskogsart som ibland kan drapera träden i norrländska grannaturskogar med hög luftfuktighet. Den förekommer även i talldominerade bestånd där den, förutom i trädens grenverk, påträffas hängande över ojämnheter i tallbarken. Arten har minskat starkt i södra och mellersta Sverige och den minskar även i sitt nordliga utbredningsområde. Orsaken till tillbakagången beror främst på slutavverkningar av naturskogsartade skogar. Bestånd med riklig förekomst bör regelmässigt sparas. Garnlav är värdväxt för den mycket sällsynta och akut hotade fjärilen barrskogslavfly (CR) som hör hemma i boreala barrskogar med riklig förekomst av värdväxten. Tidigare kunde arten konstateras årligen på flera platser vid Dala-Floda i Dalarna innan lokalerna kalavverkades. Senaste fyndet i landet av barrskogslavfly är från år 2000 då den påträffades vid Högberget i Sollefteå kommun (SLU Artdatabanken, 2024).</w:t>
      </w:r>
    </w:p>
    <w:p>
      <w:pPr>
        <w:pStyle w:val="Heading1"/>
      </w:pPr>
      <w:r>
        <w:t>Fridlysta arter</w:t>
      </w:r>
    </w:p>
    <w:p>
      <w:r>
        <w:t>Följande fridlysta arter har sina livsmiljöer och växtplatser i den avverkningsanmälda skogen: talltita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Talltita (NT, §4)</w:t>
      </w:r>
      <w:r>
        <w:t>, rödlistad som nära hotad och prioriterad art i Skogsvårdslagen har häckningsrevir i anmälan. Arten har minskat kraftigt de senaste 30 åren och minskningstakten innevarande 10-årsperiod beräknas till 20 (10–30) %. Talltitan är synnerligen trogen sitt cirka 15 hektar stora revir och är beroende av flerskiktade olikåldriga skogar för att kunna föda upp sina ungar. Talltitan försvinner om dess livsmiljö kalavverkas (Eggers &amp; Low (2014); Ekman (1979); Griesser et al (2007); Klein (2020); Siffczyk et al (2003); SLU Artdatabanken (2021).</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2 naturvårdsarter varav 2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Talltita – ekologi samt krav på livsmiljön</w:t>
      </w:r>
    </w:p>
    <w:p>
      <w:r>
        <w:t>Talltita är rödlistad som NT, fridlyst och prioriterad art i Skogsvårdslagen. Den omfattas av EU:s fågeldirektiv. Arten har minskat kraftigt de senaste 30 åren och minskningstakten innevarande 10-årsperiod beräknas till 20 (10–30) % (SLU Artdatabanken, 2022).</w:t>
      </w:r>
    </w:p>
    <w:p>
      <w:r>
        <w:t>Talltita föredrar större sammanhängande barrskogar, och finns såväl i tallskog som granskog och i lövblandad barrskog. Skogens struktur är viktig och ska helst vara flerskiktad med riklig underväxt av mindre granar, björk och andra lövträd och buskar. Tillgång på murknande högstubbar är särskilt viktig, eftersom talltitan helst själv hackar ut sitt bohål (SLU Artdatabanken, 2022).</w:t>
      </w:r>
    </w:p>
    <w:p>
      <w:r>
        <w:t>Det finns flera studier som visar att talltita är känslig för gallring och inte överlever när dess livsmiljö kalavverkas (Eggers and Low, 2014; Griesser et al., 2007; Klein, 2020). Talltitans revir är förhållandevis stora, 10–20 hektar och arten missgynnas när skogen fragmenteras. Kalavverkning av större delar av reviret innebär att det överges (Artdatabanken, 2021).</w:t>
      </w:r>
    </w:p>
    <w:p>
      <w:r>
        <w:t>Talltitan är synnerligen trogen sitt revir så länge paret lever och biotopen förblir intakt. Paret stannar i sitt revir året om. En förlust av ett revir har därför en stor inverkan på den lokala populationen och trakthyggesbruket anses vara orsak till den svenska populationens kraftiga minskning. Talltiteparets revirtrohet innebär att närhelst under året man observerar en adult talltita så ingår denna plats i reviret (Siffczyk et al., 2003; Ekman, 1979).</w:t>
      </w:r>
    </w:p>
    <w:p>
      <w:pPr>
        <w:pStyle w:val="Heading2"/>
      </w:pPr>
      <w:r>
        <w:t>Referenser – talltita</w:t>
      </w:r>
    </w:p>
    <w:p>
      <w:r>
        <w:t xml:space="preserve">Eggers, S., Low, M., 2014. </w:t>
      </w:r>
      <w:r>
        <w:rPr>
          <w:i/>
        </w:rPr>
        <w:t xml:space="preserve">Differential demographic responses of sympatric Parids to vegetation management in boreal forest. </w:t>
      </w:r>
      <w:r>
        <w:t>For. Ecol. Manage. 319, 169–175.</w:t>
      </w:r>
    </w:p>
    <w:p>
      <w:r>
        <w:t xml:space="preserve">Ekman, J., 1979. </w:t>
      </w:r>
      <w:r>
        <w:rPr>
          <w:i/>
        </w:rPr>
        <w:t xml:space="preserve">Coherence, composition and territories of winter social groups of the Willow Tit Parus montanus and the Crested Tit P. cristatus. </w:t>
      </w:r>
      <w:r>
        <w:t>Ornis Scandinavica, 10, pp 56–68</w:t>
      </w:r>
    </w:p>
    <w:p>
      <w:r>
        <w:t xml:space="preserve">Griesser, M., Nystrand, M., Eggers, S., Ekman, J., 2007. </w:t>
      </w:r>
      <w:r>
        <w:rPr>
          <w:i/>
        </w:rPr>
        <w:t xml:space="preserve">Impact of forestry practices on fitness correlates and population productivity in an open-nesting bird species. </w:t>
      </w:r>
      <w:r>
        <w:t>Conserv. Biol. 21, 767–774. https://doi.org/10.1111/j.1523- 1739.2007.00675.x</w:t>
      </w:r>
    </w:p>
    <w:p>
      <w:r>
        <w:t xml:space="preserve">Klein, J., 2020. </w:t>
      </w:r>
      <w:r>
        <w:rPr>
          <w:i/>
        </w:rPr>
        <w:t xml:space="preserve">The forgotten forest – On thinning, retention, and biodiversity in the boreal forest. </w:t>
      </w:r>
      <w:r>
        <w:t>Doctoral Thesis No. 2020:50</w:t>
      </w:r>
    </w:p>
    <w:p>
      <w:r>
        <w:t xml:space="preserve">Siffczyk, C., Brotons, L., Kangas, K., Orell, M., 2003. </w:t>
      </w:r>
      <w:r>
        <w:rPr>
          <w:i/>
        </w:rPr>
        <w:t xml:space="preserve">Home range size of willow tits. </w:t>
      </w:r>
      <w:r>
        <w:t>Oecologica, 136, 635–642 (2003)</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2025-10-19</w:t>
      <w:br/>
      <w:br/>
    </w:r>
    <w:r>
      <w:t>Till: Sveaskog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