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992-2024 i Hedemora kommun</w:t>
      </w:r>
    </w:p>
    <w:p>
      <w:r>
        <w:t>Detta dokument behandlar höga naturvärden i avverkningsanmälan A 992-2024 i Hedemora kommun. Denna avverkningsanmälan inkom 2024-01-10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aspskinn (NT), spillkråka (NT, §4), tretåig hackspett (NT, §4), ullticka (NT) och vårärt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992-2024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6697962, E 570192 i SWEREF 99 TM.</w:t>
      </w:r>
    </w:p>
    <w:p>
      <w:r>
        <w:rPr>
          <w:b/>
        </w:rPr>
        <w:t>Aspskinn (NT)</w:t>
      </w:r>
      <w:r>
        <w:t xml:space="preserve"> är knuten till blandskog med kontinuerlig tillgång till asp och tycks främst förekomma i relativt frodiga och skuggiga blandskogar med stor tillgång på lågor i olika nedbrytningsstadier. I områden där aspskinn påträffas bör miljöerna sparas långsiktigt, vilket också gynnar en rad andra organismer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