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42345-2023 i Hedemora kommun</w:t>
      </w:r>
    </w:p>
    <w:p>
      <w:r>
        <w:t>Detta dokument behandlar höga naturvärden i avverkningsanmälan A 42345-2023 i Hedemora kommun. Denna avverkningsanmälan inkom 2023-09-11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bullspindling (VU), grangråticka (VU), knärot (VU, §8), rostskinn (VU), rynkskinn (VU), vågticka (VU), garnlav (NT), rosenticka (NT), spillkråka (NT, §4), talltita (NT, §4), ullticka (NT), bronshjon (S), fjällig taggsvamp s.str. (S), gullgröppa (S), skarp dropptaggsvamp (S), trådticka (S), vedticka (S) och mattlummer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4004"/>
            <wp:docPr id="1" name="Picture 1"/>
            <wp:cNvGraphicFramePr>
              <a:graphicFrameLocks noChangeAspect="1"/>
            </wp:cNvGraphicFramePr>
            <a:graphic>
              <a:graphicData uri="http://schemas.openxmlformats.org/drawingml/2006/picture">
                <pic:pic>
                  <pic:nvPicPr>
                    <pic:cNvPr id="0" name="A 42345-2023 karta.png"/>
                    <pic:cNvPicPr/>
                  </pic:nvPicPr>
                  <pic:blipFill>
                    <a:blip r:embed="rId16"/>
                    <a:stretch>
                      <a:fillRect/>
                    </a:stretch>
                  </pic:blipFill>
                  <pic:spPr>
                    <a:xfrm>
                      <a:off x="0" y="0"/>
                      <a:ext cx="5486400" cy="462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6696836, E 555749 i SWEREF 99 TM.</w:t>
      </w:r>
    </w:p>
    <w:p>
      <w:r>
        <w:rPr>
          <w:b/>
        </w:rPr>
        <w:t>Bullspindling (VU)</w:t>
      </w:r>
      <w:r>
        <w:t xml:space="preserve"> är en kräsen och mycket bra signalart för skyddsvärda äldre granskogar på kalkrik mark. Den är placerad högst upp i Skogsstyrelsens värdepyramid för bedömning av skog med höga naturvärden och skogsbruk, främst kalavverkning utgör ett stort hot mot arten. Artens minskningstakt uppgår till 30 % inom 50 år och överstiger gränsvärdet för Sårbar (VU)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Rostskinn (VU) </w:t>
      </w:r>
      <w:r>
        <w:t>är en mycket sällsynt vednedbrytare i liggande, murkna stammar av gran och tall i frisk till fuktig barrskog. Artens missgynnas av avverkning och minskad tillgång på döda träd. Arten bör eftersökas i lämpliga naturskogar i Norrland så att dess status bättre kan beläggas. I väntan på detta bör alla kända växtplatser hållas under uppsikt och skydd övervägas vid påkallat behov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knärot (VU, §8), spillkråka (NT, §4), talltita (NT, §4)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15 fyndplatser för knärot registrerade på Artportalen. Figur 2 visar gränserna för buffertzoner på 50 m, som behöver lämnas kring fyndplatserna för att knärotslokalerna inte ska försvinna vid en avverkning. Av det avverkningsanmälda området överlappar 1.91 ha med buffertzonerna och får av detta skäl inte avverkas.</w:t>
      </w:r>
    </w:p>
    <w:p>
      <w:pPr>
        <w:pStyle w:val="Caption"/>
      </w:pPr>
      <w:r>
        <w:drawing>
          <wp:inline xmlns:a="http://schemas.openxmlformats.org/drawingml/2006/main" xmlns:pic="http://schemas.openxmlformats.org/drawingml/2006/picture">
            <wp:extent cx="5486400" cy="5724239"/>
            <wp:docPr id="2" name="Picture 2"/>
            <wp:cNvGraphicFramePr>
              <a:graphicFrameLocks noChangeAspect="1"/>
            </wp:cNvGraphicFramePr>
            <a:graphic>
              <a:graphicData uri="http://schemas.openxmlformats.org/drawingml/2006/picture">
                <pic:pic>
                  <pic:nvPicPr>
                    <pic:cNvPr id="0" name="A 42345-2023 karta knärot.png"/>
                    <pic:cNvPicPr/>
                  </pic:nvPicPr>
                  <pic:blipFill>
                    <a:blip r:embed="rId17"/>
                    <a:stretch>
                      <a:fillRect/>
                    </a:stretch>
                  </pic:blipFill>
                  <pic:spPr>
                    <a:xfrm>
                      <a:off x="0" y="0"/>
                      <a:ext cx="5486400" cy="57242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6696836, E 555749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