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56932-2024 i Hedemora kommun</w:t>
      </w:r>
    </w:p>
    <w:p>
      <w:r>
        <w:t>Detta dokument behandlar höga naturvärden i avverkningsanmälan A 56932-2024 i Hedemora kommun. Denna avverkningsanmälan inkom 2024-12-02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ask (EN), bitter taggsvamp (VU), hängticka (VU), ostticka (VU), rynkskinn (VU), kandelabersvamp (NT), Leptoporus mollis (NT), rosenticka (NT), spillkråka (NT, §4), ullticka (NT), bronshjon (S), svavelriska (S), tibast (S), vedticka (S) och blåsippa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6641"/>
            <wp:docPr id="1" name="Picture 1"/>
            <wp:cNvGraphicFramePr>
              <a:graphicFrameLocks noChangeAspect="1"/>
            </wp:cNvGraphicFramePr>
            <a:graphic>
              <a:graphicData uri="http://schemas.openxmlformats.org/drawingml/2006/picture">
                <pic:pic>
                  <pic:nvPicPr>
                    <pic:cNvPr id="0" name="A 56932-2024 karta.png"/>
                    <pic:cNvPicPr/>
                  </pic:nvPicPr>
                  <pic:blipFill>
                    <a:blip r:embed="rId16"/>
                    <a:stretch>
                      <a:fillRect/>
                    </a:stretch>
                  </pic:blipFill>
                  <pic:spPr>
                    <a:xfrm>
                      <a:off x="0" y="0"/>
                      <a:ext cx="5486400" cy="5186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6681762, E 567088 i SWEREF 99 TM.</w:t>
      </w:r>
    </w:p>
    <w:p>
      <w:r>
        <w:rPr>
          <w:b/>
        </w:rPr>
        <w:t xml:space="preserve">Bitter taggsvamp (VU) </w:t>
      </w:r>
      <w:r>
        <w:t>är en sällsynt ”toppart” som huvudsakligen förekommer på rik mark i gamla barrskogar med långvarig kontinuitet. Svampen har i friskt tillstånd en säregen doft av bittermandelolja och fruktköttet är mycket bittert i smaken. Arten ingår i ett åtgärdsprogram för hotade arter (ÅGP) och är placerad högst upp i Skogsstyrelsens värdepyramid för bedömning av skog med höga naturvärden. Arten missgynnas av skogsbruk och eftersom den huvudsakligen växer i äldre barrskog hotas flera växtplatser av slutavverkning. Fler områden med äldre barskog på kalkrik mark bör skyddas och helt undantas från skogsbruk (SLU Artdatabanken, 2024; Nitare &amp; Skogsstyrelsen, 2019).</w:t>
      </w:r>
    </w:p>
    <w:p>
      <w:r>
        <w:rPr>
          <w:b/>
        </w:rPr>
        <w:t xml:space="preserve">Hängticka (VU) </w:t>
      </w:r>
      <w:r>
        <w:t>är en vedsvamp som växer på starkt multnade brunrötade stockar av olika barrträd men kan någon gång också uppträda på lövträd. Tickans ettåriga hattar sitter tilltryckta mot underlaget men fäster vid enbart på en eller ett par punkter på ovansidan. Den hängande hatten, sporernas form och artens växtplats ger ledning vid bestämningen, men arterna i släktet är svåra att skilja åt varför bra material och mikroskopering är nödvändigt för en säker artbestämning. Arten är sällsynt och tycks vara beroende av god tillgång på multnande ved. Den hotas därför av att lämpliga växtplatser saknas i rationellt skötta skogar. Artens växtplatser måste skyddas (SLU Artdatabanken, 2024).</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0.59 ha med buffertzonerna och får av detta skäl inte avverkas.</w:t>
      </w:r>
    </w:p>
    <w:p>
      <w:pPr>
        <w:pStyle w:val="Caption"/>
      </w:pPr>
      <w:r>
        <w:drawing>
          <wp:inline xmlns:a="http://schemas.openxmlformats.org/drawingml/2006/main" xmlns:pic="http://schemas.openxmlformats.org/drawingml/2006/picture">
            <wp:extent cx="5486400" cy="6416502"/>
            <wp:docPr id="2" name="Picture 2"/>
            <wp:cNvGraphicFramePr>
              <a:graphicFrameLocks noChangeAspect="1"/>
            </wp:cNvGraphicFramePr>
            <a:graphic>
              <a:graphicData uri="http://schemas.openxmlformats.org/drawingml/2006/picture">
                <pic:pic>
                  <pic:nvPicPr>
                    <pic:cNvPr id="0" name="A 56932-2024 karta knärot.png"/>
                    <pic:cNvPicPr/>
                  </pic:nvPicPr>
                  <pic:blipFill>
                    <a:blip r:embed="rId17"/>
                    <a:stretch>
                      <a:fillRect/>
                    </a:stretch>
                  </pic:blipFill>
                  <pic:spPr>
                    <a:xfrm>
                      <a:off x="0" y="0"/>
                      <a:ext cx="5486400" cy="64165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6681762, E 567088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