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58548-2022 i Hedemora kommun</w:t>
      </w:r>
    </w:p>
    <w:p>
      <w:r>
        <w:t>Detta dokument behandlar höga naturvärden i avverkningsanmälan A 58548-2022 i Hedemora kommun. Denna avverkningsanmälan inkom 2022-12-07 00:00:00 och omfattar 12,6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finporing (VU), knärot (VU, §8), rostskinn (VU), rynkskinn (VU), ulltickeporing (VU), vågticka (VU), garnlav (NT), granticka (NT), kilporing (NT), Leptoporus mollis (NT), rosenticka (NT), spillkråka (NT, §4), talltita (NT, §4), ullticka (NT), violettgrå tagellav (NT), björksplintborre (S), bollvitmossa (S), bronshjon (S), bågpraktmossa (S), fjällig taggsvamp s.str. (S), granbarkgnagare (S), kattfotslav (S), källpraktmossa (S), mörk husmossa (S), rödgul trumpetsvamp (S), skogshakmossa (S), sotriska (S), svavelriska (S), thomsons trägnagare (S), trådticka (S), vedticka (S), blåsippa (§9)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55258"/>
            <wp:docPr id="1" name="Picture 1"/>
            <wp:cNvGraphicFramePr>
              <a:graphicFrameLocks noChangeAspect="1"/>
            </wp:cNvGraphicFramePr>
            <a:graphic>
              <a:graphicData uri="http://schemas.openxmlformats.org/drawingml/2006/picture">
                <pic:pic>
                  <pic:nvPicPr>
                    <pic:cNvPr id="0" name="A 58548-2022 karta.png"/>
                    <pic:cNvPicPr/>
                  </pic:nvPicPr>
                  <pic:blipFill>
                    <a:blip r:embed="rId16"/>
                    <a:stretch>
                      <a:fillRect/>
                    </a:stretch>
                  </pic:blipFill>
                  <pic:spPr>
                    <a:xfrm>
                      <a:off x="0" y="0"/>
                      <a:ext cx="5486400" cy="505525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6704948, E 563980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 xml:space="preserve">Bågpraktmossa </w:t>
      </w:r>
      <w:r>
        <w:t>växer i skuggiga och våta skogsmiljöer, bland annat i bäckdalar, alsumpskogar, strandskogar och örtrika gransumpskogar. Den är i hela sitt utbredningsområde en bra signalart för gransumpskogar som ofta hyser andra, mer ovanliga och rödlistade arter. Bågpraktmossa indikerar skogsmark som har ostörd hydrologi och kalkfattig mark (Nitare &amp; Skogsstyrelsen, 2019).</w:t>
      </w:r>
    </w:p>
    <w:p>
      <w:r>
        <w:rPr>
          <w:b/>
        </w:rPr>
        <w:t>Finporing (VU)</w:t>
      </w:r>
      <w:r>
        <w:t xml:space="preserve"> är en iögonfallande art knuten till fuktiga naturskogsartade miljöer med grova träd och mycket död ved i olika nedbrytningsstadier. Den växer på lågor av både löv- och barrträd, t.ex. gråal, björk och gran. Fruktkropparna utvecklas ofta på undersidan av djupt nedsjunkna lågor som fortfarande har barken kvar. Artens ekologi behöver klarläggas bättre. I väntan på detta måste kända växtplatser säkerställas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talltita (NT,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99 fyndplatser för knärot registrerade på Artportalen. Figur 2 visar gränserna för buffertzoner på 50 m, som behöver lämnas kring fyndplatserna för att knärotslokalerna inte ska försvinna vid en avverkning. Av det avverkningsanmälda området överlappar 11.63 ha med buffertzonerna och får av detta skäl inte avverkas.</w:t>
      </w:r>
    </w:p>
    <w:p>
      <w:pPr>
        <w:pStyle w:val="Caption"/>
      </w:pPr>
      <w:r>
        <w:drawing>
          <wp:inline xmlns:a="http://schemas.openxmlformats.org/drawingml/2006/main" xmlns:pic="http://schemas.openxmlformats.org/drawingml/2006/picture">
            <wp:extent cx="5486400" cy="6388493"/>
            <wp:docPr id="2" name="Picture 2"/>
            <wp:cNvGraphicFramePr>
              <a:graphicFrameLocks noChangeAspect="1"/>
            </wp:cNvGraphicFramePr>
            <a:graphic>
              <a:graphicData uri="http://schemas.openxmlformats.org/drawingml/2006/picture">
                <pic:pic>
                  <pic:nvPicPr>
                    <pic:cNvPr id="0" name="A 58548-2022 karta knärot.png"/>
                    <pic:cNvPicPr/>
                  </pic:nvPicPr>
                  <pic:blipFill>
                    <a:blip r:embed="rId17"/>
                    <a:stretch>
                      <a:fillRect/>
                    </a:stretch>
                  </pic:blipFill>
                  <pic:spPr>
                    <a:xfrm>
                      <a:off x="0" y="0"/>
                      <a:ext cx="5486400" cy="63884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6704948, E 563980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