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83 fyndplatser för knärot registrerade på Artportalen. Figur 2 visar gränserna för buffertzoner på 50 m, som behöver lämnas kring fyndplatserna för att knärotslokalerna inte ska försvinna vid en avverkning. Av det avverkningsanmälda området överlappar 11.41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