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34931-2024 i Hedemora kommun</w:t>
      </w:r>
    </w:p>
    <w:p>
      <w:r>
        <w:t>Detta dokument behandlar höga naturvärden i avverkningsanmälan A 34931-2024 i Hedemora kommun. Denna avverkningsanmälan inkom 2024-08-23 10:52:13 och omfattar 2,3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7 naturvårdsarter hittats: läderdoftande fingersvamp (VU), dofttaggsvamp (NT), gul taggsvamp (NT), fjällig taggsvamp s.str. (S), olivspindling (S), svavelriska (S) och tibast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66926"/>
            <wp:docPr id="1" name="Picture 1"/>
            <wp:cNvGraphicFramePr>
              <a:graphicFrameLocks noChangeAspect="1"/>
            </wp:cNvGraphicFramePr>
            <a:graphic>
              <a:graphicData uri="http://schemas.openxmlformats.org/drawingml/2006/picture">
                <pic:pic>
                  <pic:nvPicPr>
                    <pic:cNvPr id="0" name="A 34931-2024 karta.png"/>
                    <pic:cNvPicPr/>
                  </pic:nvPicPr>
                  <pic:blipFill>
                    <a:blip r:embed="rId16"/>
                    <a:stretch>
                      <a:fillRect/>
                    </a:stretch>
                  </pic:blipFill>
                  <pic:spPr>
                    <a:xfrm>
                      <a:off x="0" y="0"/>
                      <a:ext cx="5486400" cy="506692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6683463, E 565087 i SWEREF 99 TM.</w:t>
      </w:r>
    </w:p>
    <w:p>
      <w:r>
        <w:rPr>
          <w:b/>
        </w:rPr>
        <w:t xml:space="preserve">Dofttaggsvamp (NT) </w:t>
      </w:r>
      <w:r>
        <w:t>bildar mykorrhiza med gran i framför allt äldre ängsgranskog eller örtrik granskog av frisk lågörttyp. Arten hotas huvudsakligen av slutavverkning och den överlever sannolikt inte en avverkning eftersom den är beroende de levande barrträdens rötter. Troligen missgynnas den av allt för hård gallring eller plockhuggning om huggningen inte efterföljs av skogsbete. Fler örtrika barrskogar, särskilt de med trädkontinuitet, måste skyddas i större utsträckning än vad som tidigare gjorts (SLU Artdatabanken, 2024).</w:t>
      </w:r>
    </w:p>
    <w:p>
      <w:r>
        <w:rPr>
          <w:b/>
        </w:rPr>
        <w:t xml:space="preserve">Gul taggsvamp (NT) </w:t>
      </w:r>
      <w:r>
        <w:t>bildar mykorrhiza med gran helst på kalkrik mark, gärna i fuktig äldre ängsgranskog. Slutavverkning och markberedning missgynnar arten och fler områden med äldre skog på näringsrik mark, framför allt i södra och mellersta Sverige, behöver bevaras (SLU Artdatabanken, 2024).</w:t>
      </w:r>
    </w:p>
    <w:p>
      <w:r>
        <w:rPr>
          <w:b/>
        </w:rPr>
        <w:t xml:space="preserve">Läderdoftande fingersvamp (VU) </w:t>
      </w:r>
      <w:r>
        <w:t>bildar mykorrhiza med gran i örtrik äldre barrskog, ofta på kalkrik mark. Den har en speciell doft som kan påminna om nytt skoläder (skoaffär), därav det svenska namnet. Den totala populationen i landet bedöms ändå ha minskat starkt och fortsatt kommer att minska då arten är knuten till en bördig äldre kalkgranskogsmiljö som successivt avverkas och där få områden alltjämt är formellt skyddade. All form av hårdhänt skogsavverkning på eller i närheten av växtplatsen missgynnar arten. Artens huvudsakliga koppling till produktiva äldre granskogar med hög bonitet gör den särskilt utsatt för slutavverkning. Samtliga lokaler bör undantas från rationellt skogsbruk och få ett områdesskydd (SLU Artdatabanken, 2024; Nitare &amp; Skogsstyrelsen, 2019).</w:t>
      </w:r>
    </w:p>
    <w:p>
      <w:r>
        <w:rPr>
          <w:b/>
        </w:rPr>
        <w:t>Olivspindling</w:t>
      </w:r>
      <w:r>
        <w:t xml:space="preserve"> växer uteslutande på näringsrik och kalkhaltig skogsmark där den huvudsakligen bildar mykorrhiza med gran och tall. Svampen är en typisk representant för kalkgranskogens särpräglade och rika svampflora. Kalavverkning är ett hot mot arten, eftersom den sannolikt kräver lång kontinuitet av äldre träd. Populationerna i landet bedöms därför minska beroende på slutavverkning av äldre barrskog på kalkhaltig mark (SLU Artdatabanken, 2024; Nitare &amp; Skogsstyrelsen, 2019).</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värdväxt för de två fjärilsarterna större tibastmal och brun tibastmal (CR)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