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34930-2024 i Hedemora kommun</w:t>
      </w:r>
    </w:p>
    <w:p>
      <w:r>
        <w:t>Detta dokument behandlar höga naturvärden i avverkningsanmälan A 34930-2024 i Hedemora kommun. Denna avverkningsanmälan inkom 2024-08-23 10:49:33 och omfattar 6,1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läderdoftande fingersvamp (VU), taggfingersvamp (VU), dofttaggsvamp (NT), gul taggsvamp (NT), odörspindling (NT), anisspindling (S), fjällig taggsvamp s.str. (S), olivspindling (S), skarp dropptaggsvamp (S), svavelriska (S), blåsippa (§9)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5000"/>
            <wp:docPr id="1" name="Picture 1"/>
            <wp:cNvGraphicFramePr>
              <a:graphicFrameLocks noChangeAspect="1"/>
            </wp:cNvGraphicFramePr>
            <a:graphic>
              <a:graphicData uri="http://schemas.openxmlformats.org/drawingml/2006/picture">
                <pic:pic>
                  <pic:nvPicPr>
                    <pic:cNvPr id="0" name="A 34930-2024 karta.png"/>
                    <pic:cNvPicPr/>
                  </pic:nvPicPr>
                  <pic:blipFill>
                    <a:blip r:embed="rId16"/>
                    <a:stretch>
                      <a:fillRect/>
                    </a:stretch>
                  </pic:blipFill>
                  <pic:spPr>
                    <a:xfrm>
                      <a:off x="0" y="0"/>
                      <a:ext cx="5486400" cy="4495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6683759, E 565221 i SWEREF 99 TM.</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Taggfingersvamp (VU) </w:t>
      </w:r>
      <w:r>
        <w:t>är knuten till granskogar med långvarig kontinuitet och bildar mykorrhiza med gran på rikare mark. Den totala populationen i landet bedöms ha minskat kraftigt och fortgående att minska, huvudsakligen p.g.a. att arealen örtrik äldre granskog har minskat de senaste 50 åren. Den hotas främst av skogsavverkning och tycks försvinna efter slutavverkning, markberedning och plantering och det saknas uppgifter om fynd i planterad skog eller sekundär granskog uppkommen på kalmark. Taggfingersvamp är placerad högst upp i Skogsstyrelsens värdepyramid för bedömning av skog med höga naturvärden. Områdesskydd är en viktig åtgärd för att bevara artens förekomster (SLU Artdatabanken, 2024; Nitare &amp; Skogsstyrelsen, 2019).</w:t>
      </w:r>
    </w:p>
    <w:p>
      <w:pPr>
        <w:pStyle w:val="Heading1"/>
      </w:pPr>
      <w:r>
        <w:t>Fridlysta arter</w:t>
      </w:r>
    </w:p>
    <w:p>
      <w:r>
        <w:t>Följande fridlysta arter har sina livsmiljöer och växtplatser i den avverkningsanmälda skogen: blåsippa (§9) och revlummer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