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54120-2024 i Hedemora kommun</w:t>
      </w:r>
    </w:p>
    <w:p>
      <w:r>
        <w:t>Detta dokument behandlar höga naturvärden i avverkningsanmälan A 54120-2024 i Hedemora kommun. Denna avverkningsanmälan inkom 2024-11-20 13:45:11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grangråticka (VU), knärot (VU, §8), rynkskinn (VU), dofttaggsvamp (NT), gul taggsvamp (NT), rosenticka (NT), ullticka (NT), diskvaxskivling (S), fjällig taggsvamp s.str. (S), svavelriska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(NT) </w:t>
      </w:r>
      <w:r>
        <w:t xml:space="preserve">bildar mykorrhiza med gran helst på kalkrik mark, gärna i fuktig äldre ängsgranskog. Slutavverkning och markberedning missgynnar arten och fler områden med äldre skog på näringsrik mark, framför allt i södra och mellersta Sverige, behöver bevaras. Gul 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