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82 fyndplatser för knärot registrerade på Artportalen. Figur 2 visar gränserna för buffertzoner på 50 m, som behöver lämnas kring fyndplatserna för att knärotslokalerna inte ska försvinna vid en avverkning. Av det avverkningsanmälda området överlappar 10.99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