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60987-2025 i Hedemora kommun</w:t>
      </w:r>
    </w:p>
    <w:p>
      <w:r>
        <w:t>Detta klagomål behandlar höga naturvärden i avverkningsanmälan A 60987-2025 i Hedemora kommun som inkom 2025-12-05 och omfattar 12,9 ha.</w:t>
      </w:r>
    </w:p>
    <w:p>
      <w:pPr>
        <w:pStyle w:val="Caption"/>
      </w:pPr>
      <w:r>
        <w:drawing>
          <wp:inline xmlns:a="http://schemas.openxmlformats.org/drawingml/2006/main" xmlns:pic="http://schemas.openxmlformats.org/drawingml/2006/picture">
            <wp:extent cx="5276161" cy="5724000"/>
            <wp:docPr id="1" name="Picture 1"/>
            <wp:cNvGraphicFramePr>
              <a:graphicFrameLocks noChangeAspect="1"/>
            </wp:cNvGraphicFramePr>
            <a:graphic>
              <a:graphicData uri="http://schemas.openxmlformats.org/drawingml/2006/picture">
                <pic:pic>
                  <pic:nvPicPr>
                    <pic:cNvPr id="0" name="A 60987-2025 karta.png"/>
                    <pic:cNvPicPr/>
                  </pic:nvPicPr>
                  <pic:blipFill>
                    <a:blip r:embed="rId16"/>
                    <a:stretch>
                      <a:fillRect/>
                    </a:stretch>
                  </pic:blipFill>
                  <pic:spPr>
                    <a:xfrm>
                      <a:off x="0" y="0"/>
                      <a:ext cx="5276161"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6710254, E 557188 i SWEREF 99 TM.</w:t>
      </w:r>
    </w:p>
    <w:p>
      <w:r>
        <w:t>I och inom 10 meter från avverkningsanmälan finns fynd av 26 naturvårdsarter, varav 15 är rödlistade, 11 är fridlysta, 14 är typiska (T) och 4 är signalarter (S): garnlav (VU, T), knärot (VU, T, §8), ulltickeporing (VU), blågrå svartspik (NT), brunlångöra (NT, §4a), dropptaggsvamp (NT, T), kortskaftad ärgspik (NT), nordfladdermus (NT, §4a), rosenticka (NT, T), rynkskinn (NT, T), tallticka (NT, T), talltita (NT, §4), tretåig hackspett (NT, T, §4), ullticka (NT, T), Porodaedalea chrysoloma (DD), bronshjon (S, T), thomsons trägnagare (S), vedticka (S, T), vågbandad barkbock (S), spillkråka (T, §4), timmerticka (T), tjäder (T, §4), tofsmes (T, §4), vattenfladdermus (§4a),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2.85 ha med buffertzonerna och får av detta skäl inte avverkas.</w:t>
      </w:r>
    </w:p>
    <w:p>
      <w:pPr>
        <w:pStyle w:val="Caption"/>
      </w:pPr>
      <w:r>
        <w:drawing>
          <wp:inline xmlns:a="http://schemas.openxmlformats.org/drawingml/2006/main" xmlns:pic="http://schemas.openxmlformats.org/drawingml/2006/picture">
            <wp:extent cx="5486400" cy="5222449"/>
            <wp:docPr id="2" name="Picture 2"/>
            <wp:cNvGraphicFramePr>
              <a:graphicFrameLocks noChangeAspect="1"/>
            </wp:cNvGraphicFramePr>
            <a:graphic>
              <a:graphicData uri="http://schemas.openxmlformats.org/drawingml/2006/picture">
                <pic:pic>
                  <pic:nvPicPr>
                    <pic:cNvPr id="0" name="A 60987-2025 karta knärot.png"/>
                    <pic:cNvPicPr/>
                  </pic:nvPicPr>
                  <pic:blipFill>
                    <a:blip r:embed="rId17"/>
                    <a:stretch>
                      <a:fillRect/>
                    </a:stretch>
                  </pic:blipFill>
                  <pic:spPr>
                    <a:xfrm>
                      <a:off x="0" y="0"/>
                      <a:ext cx="5486400" cy="52224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6710254, E 557188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