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60987-2025 i Hedemora kommun</w:t>
      </w:r>
    </w:p>
    <w:p>
      <w:r>
        <w:t>Denna tillsynsbegäran behandlar höga naturvärden i avverkningsanmälan A 60987-2025 i Hedemora kommun som inkom 2025-12-05 och omfattar 12,9 ha.</w:t>
      </w:r>
    </w:p>
    <w:p>
      <w:pPr>
        <w:pStyle w:val="Caption"/>
      </w:pPr>
      <w:r>
        <w:drawing>
          <wp:inline xmlns:a="http://schemas.openxmlformats.org/drawingml/2006/main" xmlns:pic="http://schemas.openxmlformats.org/drawingml/2006/picture">
            <wp:extent cx="5276161" cy="5724000"/>
            <wp:docPr id="1" name="Picture 1"/>
            <wp:cNvGraphicFramePr>
              <a:graphicFrameLocks noChangeAspect="1"/>
            </wp:cNvGraphicFramePr>
            <a:graphic>
              <a:graphicData uri="http://schemas.openxmlformats.org/drawingml/2006/picture">
                <pic:pic>
                  <pic:nvPicPr>
                    <pic:cNvPr id="0" name="A 60987-2025 karta.png"/>
                    <pic:cNvPicPr/>
                  </pic:nvPicPr>
                  <pic:blipFill>
                    <a:blip r:embed="rId16"/>
                    <a:stretch>
                      <a:fillRect/>
                    </a:stretch>
                  </pic:blipFill>
                  <pic:spPr>
                    <a:xfrm>
                      <a:off x="0" y="0"/>
                      <a:ext cx="5276161"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6710254, E 557188 i SWEREF 99 TM.</w:t>
      </w:r>
    </w:p>
    <w:p>
      <w:r>
        <w:t>I och inom 10 meter från avverkningsanmälan finns fynd av 26 naturvårdsarter, varav 15 är rödlistade, 11 är fridlysta, 14 är typiska (T) och 4 är signalarter (S): garnlav (VU, T), knärot (VU, T, §8), ulltickeporing (VU), blågrå svartspik (NT), brunlångöra (NT, §4a), dropptaggsvamp (NT, T), kortskaftad ärgspik (NT), nordfladdermus (NT, §4a), rosenticka (NT, T), rynkskinn (NT, T), tallticka (NT, T), talltita (NT, §4), tretåig hackspett (NT, T, §4), ullticka (NT, T), Porodaedalea chrysoloma (DD), bronshjon (S, T), thomsons trägnagare (S), vedticka (S, T), vågbandad barkbock (S), spillkråka (T, §4), timmerticka (T), tjäder (T, §4), tofsmes (T, §4), vattenfladdermus (§4a),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2.85 ha med buffertzonerna och får av detta skäl inte avverkas.</w:t>
      </w:r>
    </w:p>
    <w:p>
      <w:pPr>
        <w:pStyle w:val="Caption"/>
      </w:pPr>
      <w:r>
        <w:drawing>
          <wp:inline xmlns:a="http://schemas.openxmlformats.org/drawingml/2006/main" xmlns:pic="http://schemas.openxmlformats.org/drawingml/2006/picture">
            <wp:extent cx="5486400" cy="5222449"/>
            <wp:docPr id="2" name="Picture 2"/>
            <wp:cNvGraphicFramePr>
              <a:graphicFrameLocks noChangeAspect="1"/>
            </wp:cNvGraphicFramePr>
            <a:graphic>
              <a:graphicData uri="http://schemas.openxmlformats.org/drawingml/2006/picture">
                <pic:pic>
                  <pic:nvPicPr>
                    <pic:cNvPr id="0" name="A 60987-2025 karta knärot.png"/>
                    <pic:cNvPicPr/>
                  </pic:nvPicPr>
                  <pic:blipFill>
                    <a:blip r:embed="rId17"/>
                    <a:stretch>
                      <a:fillRect/>
                    </a:stretch>
                  </pic:blipFill>
                  <pic:spPr>
                    <a:xfrm>
                      <a:off x="0" y="0"/>
                      <a:ext cx="5486400" cy="52224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6710254, E 557188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i/>
        </w:rPr>
        <w:t>Porodaedalea chrysoloma (DD)</w:t>
      </w:r>
      <w:r>
        <w:t xml:space="preserve"> förekommer främst i äldre skogar med naturskogskaraktär och är en god signalart för skyddsvärda granskogsmiljöer. Den bedöms ha minskat starkt under senare år på grund av skogsavverkningar, då den framför allt växer i äldre grannaturskog med långvarig grankontinuitet. Det som tidigare inbegripit grantickan har visat sig röra sig om två arter; tajgagranticka </w:t>
      </w:r>
      <w:r>
        <w:rPr>
          <w:i/>
        </w:rPr>
        <w:t>Porodaedalea abietis</w:t>
      </w:r>
      <w:r>
        <w:t xml:space="preserve"> (LC) och </w:t>
      </w:r>
      <w:r>
        <w:rPr>
          <w:i/>
        </w:rPr>
        <w:t>Porodaedalea chrysoloma</w:t>
      </w:r>
      <w:r>
        <w:t xml:space="preserve"> </w:t>
      </w:r>
      <w:r>
        <w:rPr>
          <w:i/>
        </w:rPr>
        <w:t>(DD)</w:t>
      </w:r>
      <w:r>
        <w:t xml:space="preserve">. Den nordligare arten, tajgagranticka, bildar större fruktkroppar och har sin främsta förekomst i norra Sverige, medan den mer tunnköttiga arten, </w:t>
      </w:r>
      <w:r>
        <w:rPr>
          <w:i/>
        </w:rPr>
        <w:t>P. chrysoloma</w:t>
      </w:r>
      <w:r>
        <w:t xml:space="preserve">, förekommer i sydöstra Sverige och på Gotland. Faktaunderlaget för </w:t>
      </w:r>
      <w:r>
        <w:rPr>
          <w:i/>
        </w:rPr>
        <w:t>P. chrysoloma</w:t>
      </w:r>
      <w:r>
        <w:t xml:space="preserve"> bedöms vara otillräckligt för att avgöra vilken av de olika rödlistningskategorierna som är mest trolig (SLU Artdatabanken, 2026;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rosenticka (NT, T), rynkskinn (NT, T), tallticka (NT, T), tretåig hackspett (NT, T, §4), ullticka (NT, T), bronshjon (S, T), vedticka (S, T), spillkråka (T, §4), timmerticka (T),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