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227-2024 i Hedemora kommun</w:t>
      </w:r>
    </w:p>
    <w:p>
      <w:r>
        <w:t>Denna tillsynsbegäran behandlar höga naturvärden i samrådsanmälan S 227-2024 i Hedemora kommun som inkom 2024-01-26 och omfattar 39,6 ha.</w:t>
      </w:r>
    </w:p>
    <w:p>
      <w:pPr>
        <w:pStyle w:val="Caption"/>
      </w:pPr>
      <w:r>
        <w:drawing>
          <wp:inline xmlns:a="http://schemas.openxmlformats.org/drawingml/2006/main" xmlns:pic="http://schemas.openxmlformats.org/drawingml/2006/picture">
            <wp:extent cx="4360862" cy="5724000"/>
            <wp:docPr id="1" name="Picture 1"/>
            <wp:cNvGraphicFramePr>
              <a:graphicFrameLocks noChangeAspect="1"/>
            </wp:cNvGraphicFramePr>
            <a:graphic>
              <a:graphicData uri="http://schemas.openxmlformats.org/drawingml/2006/picture">
                <pic:pic>
                  <pic:nvPicPr>
                    <pic:cNvPr id="0" name="S 227-2024 karta.png"/>
                    <pic:cNvPicPr/>
                  </pic:nvPicPr>
                  <pic:blipFill>
                    <a:blip r:embed="rId16"/>
                    <a:stretch>
                      <a:fillRect/>
                    </a:stretch>
                  </pic:blipFill>
                  <pic:spPr>
                    <a:xfrm>
                      <a:off x="0" y="0"/>
                      <a:ext cx="436086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6699549, E 573108 i SWEREF 99 TM.</w:t>
      </w:r>
    </w:p>
    <w:p>
      <w:r>
        <w:t>I samrådsanmälan finns fynd av 2 naturvårdsarter, varav 2 är fridlysta och 2 är typiska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