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13510-2026 i Hedemora kommun</w:t>
      </w:r>
    </w:p>
    <w:p>
      <w:r>
        <w:t>Detta dokument behandlar höga naturvärden i avverkningsanmälan A 13510-2026 i Hedemora kommun som inkom 2026-03-13 och omfattar 1,4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Inom 25 meter från avverkningsanmälan har följande 2 naturvårdsarter hittats: svavelriska (S) och blåsippa (T, §9). Arter som är signalarter enligt Skogsstyrelsen har markerats med (S). Typiska arter inom Natura 2000 som är kopplade till skogsekosystem har markerats med (T). För fridlysta arter anges även paragrafen i Artskyddsförordningen som arten är fridlyst enligt.</w:t>
      </w:r>
    </w:p>
    <w:p>
      <w:r>
        <w:t>De påträffade naturvårdsarterna är ett tydligt kvitto på att det rör sig om en skog med höga naturvärden.</w:t>
      </w:r>
      <w:r>
        <w:t xml:space="preserve"> I Figur 1 visas fyndplatser för naturvårdsarter i området, som finns registrerade på Artportalen.</w:t>
      </w:r>
    </w:p>
    <w:p>
      <w:pPr>
        <w:pStyle w:val="Caption"/>
      </w:pPr>
      <w:r>
        <w:drawing>
          <wp:inline xmlns:a="http://schemas.openxmlformats.org/drawingml/2006/main" xmlns:pic="http://schemas.openxmlformats.org/drawingml/2006/picture">
            <wp:extent cx="5486400" cy="5258271"/>
            <wp:docPr id="1" name="Picture 1"/>
            <wp:cNvGraphicFramePr>
              <a:graphicFrameLocks noChangeAspect="1"/>
            </wp:cNvGraphicFramePr>
            <a:graphic>
              <a:graphicData uri="http://schemas.openxmlformats.org/drawingml/2006/picture">
                <pic:pic>
                  <pic:nvPicPr>
                    <pic:cNvPr id="0" name="A 13510-2026 karta.png"/>
                    <pic:cNvPicPr/>
                  </pic:nvPicPr>
                  <pic:blipFill>
                    <a:blip r:embed="rId16"/>
                    <a:stretch>
                      <a:fillRect/>
                    </a:stretch>
                  </pic:blipFill>
                  <pic:spPr>
                    <a:xfrm>
                      <a:off x="0" y="0"/>
                      <a:ext cx="5486400" cy="5258271"/>
                    </a:xfrm>
                    <a:prstGeom prst="rect"/>
                  </pic:spPr>
                </pic:pic>
              </a:graphicData>
            </a:graphic>
          </wp:inline>
        </w:drawing>
      </w:r>
    </w:p>
    <w:p>
      <w:pPr>
        <w:pStyle w:val="Caption"/>
        <w:spacing w:after="240"/>
      </w:pPr>
      <w:r>
        <w:t>Figur 1. Fyndplatser för naturvårdsarter inom 25 meter från avverkningsanmälan (röd linje). Markörer utan svart kant är placerade på fyndplatsen. Markörer med svart kant är placerade vid sidan av fyndplatsen och har ett svart streck som visar fyndplatsens exakta position. Kartans mittpunktskoordinat är N 6682497, E 550451 i SWEREF 99 TM.</w:t>
      </w:r>
    </w:p>
    <w:p>
      <w:pPr>
        <w:pStyle w:val="Heading2"/>
      </w:pPr>
      <w:r>
        <w:t>Fridlysta arter</w:t>
      </w:r>
    </w:p>
    <w:p>
      <w:r>
        <w:t>Följande fridlysta arter har sina livsmiljöer och växtplatser i den avverkningsanmälda skogen: blåsippa (T, §9).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0.05 ha med buffertzonerna och får av detta skäl inte avverkas.</w:t>
      </w:r>
    </w:p>
    <w:p>
      <w:pPr>
        <w:pStyle w:val="Caption"/>
      </w:pPr>
      <w:r>
        <w:drawing>
          <wp:inline xmlns:a="http://schemas.openxmlformats.org/drawingml/2006/main" xmlns:pic="http://schemas.openxmlformats.org/drawingml/2006/picture">
            <wp:extent cx="5486400" cy="5248845"/>
            <wp:docPr id="2" name="Picture 2"/>
            <wp:cNvGraphicFramePr>
              <a:graphicFrameLocks noChangeAspect="1"/>
            </wp:cNvGraphicFramePr>
            <a:graphic>
              <a:graphicData uri="http://schemas.openxmlformats.org/drawingml/2006/picture">
                <pic:pic>
                  <pic:nvPicPr>
                    <pic:cNvPr id="0" name="A 13510-2026 karta knärot.png"/>
                    <pic:cNvPicPr/>
                  </pic:nvPicPr>
                  <pic:blipFill>
                    <a:blip r:embed="rId17"/>
                    <a:stretch>
                      <a:fillRect/>
                    </a:stretch>
                  </pic:blipFill>
                  <pic:spPr>
                    <a:xfrm>
                      <a:off x="0" y="0"/>
                      <a:ext cx="5486400" cy="5248845"/>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6682497, E 550451 i SWEREF 99 TM.</w:t>
      </w:r>
    </w:p>
    <w:p>
      <w:r>
        <w:t>I BILAGA 1 finns mer detaljerad information om ekologi samt krav på livsmiljö hos fridlysta arter.</w:t>
      </w:r>
    </w:p>
    <w:p>
      <w:pPr>
        <w:pStyle w:val="Heading2"/>
      </w:pPr>
      <w:r>
        <w:t>Övriga naturvårdsarter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