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klagomål behandlar höga naturvärden i avverkningsanmälan A 34930-2024 i Hedemora kommun som inkom 2024-08-23 och omfattar 6,1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6683759, E 565221 i SWEREF 99 TM.</w:t>
      </w:r>
    </w:p>
    <w:p>
      <w:r>
        <w:t>I och inom 25 meter från avverkningsanmälan finns fynd av 14 naturvårdsarter, varav 9 är rödlistade, 3 är fridlysta, 4 är typiska (T) och 3 är signalarter (S): gul taggsvamp (VU, T), läderdoftande fingersvamp (VU), taggfingersvamp (VU), dofttaggsvamp (NT, T), fjällig taggsvamp s.str. (NT), odörspindling (NT), skarp dropptaggsvamp (NT), talltita (NT, §4), ullticka (NT, T), anisspindling (S), olivspindling (S), svavelriska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