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42345-2023 i Hedemora kommun</w:t>
      </w:r>
    </w:p>
    <w:p>
      <w:r>
        <w:t>Detta klagomål behandlar höga naturvärden i avverkningsanmälan A 42345-2023 i Hedemora kommun som inkom 2023-09-11 och omfattar 2,3 ha.</w:t>
      </w:r>
    </w:p>
    <w:p>
      <w:pPr>
        <w:pStyle w:val="Caption"/>
      </w:pPr>
      <w:r>
        <w:drawing>
          <wp:inline xmlns:a="http://schemas.openxmlformats.org/drawingml/2006/main" xmlns:pic="http://schemas.openxmlformats.org/drawingml/2006/picture">
            <wp:extent cx="5486400" cy="4498570"/>
            <wp:docPr id="1" name="Picture 1"/>
            <wp:cNvGraphicFramePr>
              <a:graphicFrameLocks noChangeAspect="1"/>
            </wp:cNvGraphicFramePr>
            <a:graphic>
              <a:graphicData uri="http://schemas.openxmlformats.org/drawingml/2006/picture">
                <pic:pic>
                  <pic:nvPicPr>
                    <pic:cNvPr id="0" name="A 42345-2023 karta.png"/>
                    <pic:cNvPicPr/>
                  </pic:nvPicPr>
                  <pic:blipFill>
                    <a:blip r:embed="rId16"/>
                    <a:stretch>
                      <a:fillRect/>
                    </a:stretch>
                  </pic:blipFill>
                  <pic:spPr>
                    <a:xfrm>
                      <a:off x="0" y="0"/>
                      <a:ext cx="5486400" cy="4498570"/>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6696836, E 555749 i SWEREF 99 TM.</w:t>
      </w:r>
    </w:p>
    <w:p>
      <w:r>
        <w:t>I och inom 19 meter från avverkningsanmälan finns fynd av 19 naturvårdsarter, varav 13 är rödlistade, 4 är fridlysta, 12 är typiska (T) och 4 är signalarter (S): bullspindling (VU), garnlav (VU, T), grangråticka (VU, T), knärot (VU, T, §8), rostskinn (VU), fjällig taggsvamp s.str. (NT), motaggsvamp (NT, T), rosenticka (NT, T), rynkskinn (NT, T), skarp dropptaggsvamp (NT), talltita (NT, §4), ullticka (NT, T), vågticka (NT), bronshjon (S, T), gullgröppa (S), trådticka (S, T), vedticka (S, T), mattlummer (T, §9)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Bullspindling (VU)</w:t>
      </w:r>
      <w:r>
        <w:t xml:space="preserve"> är en kräsen och mycket bra signalart för skyddsvärda äldre granskogar på kalkrik mark. Den är placerad högst upp i Skogsstyrelsens värdepyramid för bedömning av skog med höga naturvärden och skogsbruk, främst kalavverkning utgör ett stort hot mot arten. Artens minskningstakt uppgår till 30 % inom 50 år och överstiger gränsvärdet för Sårbar (VU)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Grangråticka är typisk art för </w:t>
      </w:r>
      <w:r>
        <w:rPr>
          <w:i/>
        </w:rPr>
        <w:t>9050 Näringsrik granskog</w:t>
      </w:r>
      <w:r>
        <w:t xml:space="preserve">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16 fyndplatser för knärot registrerade på Artportalen. Figur 2 visar gränserna för buffertzoner på 50 m, som behöver lämnas kring fyndplatserna för att knärotslokalerna inte ska försvinna vid en avverkning. Av det avverkningsanmälda området överlappar 1.91 ha med buffertzonerna och får av detta skäl inte avverkas.</w:t>
      </w:r>
    </w:p>
    <w:p>
      <w:pPr>
        <w:pStyle w:val="Caption"/>
      </w:pPr>
      <w:r>
        <w:drawing>
          <wp:inline xmlns:a="http://schemas.openxmlformats.org/drawingml/2006/main" xmlns:pic="http://schemas.openxmlformats.org/drawingml/2006/picture">
            <wp:extent cx="5486400" cy="5724426"/>
            <wp:docPr id="2" name="Picture 2"/>
            <wp:cNvGraphicFramePr>
              <a:graphicFrameLocks noChangeAspect="1"/>
            </wp:cNvGraphicFramePr>
            <a:graphic>
              <a:graphicData uri="http://schemas.openxmlformats.org/drawingml/2006/picture">
                <pic:pic>
                  <pic:nvPicPr>
                    <pic:cNvPr id="0" name="A 42345-2023 karta knärot.png"/>
                    <pic:cNvPicPr/>
                  </pic:nvPicPr>
                  <pic:blipFill>
                    <a:blip r:embed="rId17"/>
                    <a:stretch>
                      <a:fillRect/>
                    </a:stretch>
                  </pic:blipFill>
                  <pic:spPr>
                    <a:xfrm>
                      <a:off x="0" y="0"/>
                      <a:ext cx="5486400" cy="572442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6696836, E 555749 i SWEREF 99 TM.</w:t>
      </w:r>
    </w:p>
    <w:p>
      <w:r>
        <w:rPr>
          <w:b/>
        </w:rPr>
        <w:t xml:space="preserve">Rostskinn (VU) </w:t>
      </w:r>
      <w:r>
        <w:t>är en mycket sällsynt vednedbrytare i liggande, murkna stammar av gran och tall i frisk till fuktig barrskog. Artens missgynnas av avverkning och minskad tillgång på döda träd. Arten bör eftersökas i lämpliga naturskogar i Norrland så att dess status bättre kan beläggas. I väntan på detta bör alla kända växtplatser hållas under uppsikt och skydd övervägas vid påkallat behov (SLU Artdatabanken, 2024).</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Vågticka (NT) </w:t>
      </w:r>
      <w:r>
        <w:t>förekommer främst i rikare kontinuitetsskogar med mycket död ved. Den växer på grova lågor och stubbar av gran och asp, men ibland även på andra trädslag.  Arten missgynnas av slutavverkning av äldre barrskog med lång skoglig kontinuitet, men även av skogliga åtgärder som t.ex. markberedning som förstör lågor. Minskningstakten för den svenska populationen bedöms vara nära gränsvärdet för sårbar (VU) (SLU Artdatabanken, 2026).</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Mattlummer (§9)</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