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34928-2024 i Hedemora kommun</w:t>
      </w:r>
    </w:p>
    <w:p>
      <w:r>
        <w:t>Detta dokument behandlar höga naturvärden i avverkningsanmälan A 34928-2024 i Hedemora kommun. Denna avverkningsanmälan inkom 2024-08-23 10:42:26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sammetstaggsvamp (VU), violgubbe (VU), gul taggsvamp (NT), puderspindling (NT), spillkråka (NT, §4), olivspindling (S) och svavelriska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67646"/>
            <wp:docPr id="1" name="Picture 1"/>
            <wp:cNvGraphicFramePr>
              <a:graphicFrameLocks noChangeAspect="1"/>
            </wp:cNvGraphicFramePr>
            <a:graphic>
              <a:graphicData uri="http://schemas.openxmlformats.org/drawingml/2006/picture">
                <pic:pic>
                  <pic:nvPicPr>
                    <pic:cNvPr id="0" name="A 34928-2024 karta.png"/>
                    <pic:cNvPicPr/>
                  </pic:nvPicPr>
                  <pic:blipFill>
                    <a:blip r:embed="rId16"/>
                    <a:stretch>
                      <a:fillRect/>
                    </a:stretch>
                  </pic:blipFill>
                  <pic:spPr>
                    <a:xfrm>
                      <a:off x="0" y="0"/>
                      <a:ext cx="5486400" cy="6367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6683323, E 564823 i SWEREF 99 TM.</w:t>
      </w:r>
    </w:p>
    <w:p>
      <w:r>
        <w:rPr>
          <w:b/>
        </w:rPr>
        <w:t xml:space="preserve">Gul taggsvamp (NT) </w:t>
      </w:r>
      <w:r>
        <w:t>bildar mykorrhiza med gran helst på kalkrik mark, gärna i fuktig äldre ängsgranskog. Slutavverkning och markberedning missgynnar arten och fler områden med äldre skog på näringsrik mark, framför allt i södra och mellersta Sverige, behöver bevaras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Sammetstaggsvamp (VU) </w:t>
      </w:r>
      <w:r>
        <w:t>bildar mykorrhiza med gran, i örtrik kalkgranskog eller annan bördig granskog av lågörtstyp. Arten ingår i ett åtgärdsprogram för hotade arter (ÅGP) och samtliga växtplatser måste undantas från rationellt skogsbruk. För att på lång sikt öka artens möjligheter att överleva måste fler, äldre barrskogspartier på kalkrik mark skyddas. Sammetstaggsvamp är globalt rödlistad som sårbar (VU) och Sverige hyser sannolikt en stor andel av svampens hela europeiska population, vilket medför ett särskilt stort nationellt och internationellt ansvar för artens bevarande (IUCN, 2025; SLU Artdatabanken, 2024; Nitare &amp; Skogsstyrelsen, 2019).</w:t>
      </w:r>
    </w:p>
    <w:p>
      <w:r>
        <w:rPr>
          <w:b/>
        </w:rPr>
        <w:t>Violgubbe (VU)</w:t>
      </w:r>
      <w:r>
        <w:t xml:space="preserve"> bildar mykorrhiza med gran och bok och ev. andra trädslag i ängsgran- och ängsbokskog på kalkrik mark. Arten är placerad högst upp i Skogsstyrelsens värdepyramid för bedömning av skog med höga naturvärden och indikerar alltid skogsområden med höga naturvärden. Det största hotet mot arten är skogsavverkning och den omfattas av ett åtgärdsprogram för hotade arter (ÅGP). Violgubben överlever inte en slutavverkning och verkar dessutom ha svårt att etablera sig i yngre skogsbestånd (SLU Artdatabanken, 2024; Nitare &amp; Skogsstyrelsen, 2019; Aronsson, 2006).</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