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14785-2023 i Avesta kommun</w:t>
      </w:r>
    </w:p>
    <w:p>
      <w:r>
        <w:t>Detta dokument behandlar höga naturvärden i avverkningsanmälan A 14785-2023 i Avesta kommun. Denna avverkningsanmälan inkom 2023-03-29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gråblå skinnlav (EN), mikroskapania (EN, §8), svämskapania (EN), timmerskapania (EN), korallblylav (S), piskbaronmossa (S), skinnlav (S) och trubbfjädermossa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4785-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6672580, E 585523 i SWEREF 99 TM.</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Svämskapania (EN)</w:t>
      </w:r>
      <w:r>
        <w:t xml:space="preserve"> växer i skuggiga skogsmiljöer på död ved av lågor som tidvis översvämmas. Arten är rödlistad som starkt hotad (EN) i den europeiska rödlistan och omfattas av ett åtgärdsprogram för hotade arter (ÅGP). Alla skogsskötselåtgärder på eller i närheten av lokalerna utgör ett hot och alla nu kända och eventuella nyupptäckta förekomster bör skyddas så att inga skogsbruksåtgärder tillåts i närheten av där arten förekommer. Även alla åtgärder som kan förändra hydrologin i området bör förhindras (IUCN, 2024; SLU Artdatabanken, 2024; Naturvårdsverket 2015).</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