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14785-2023 i Avesta kommun</w:t>
      </w:r>
    </w:p>
    <w:p>
      <w:r>
        <w:t>Detta dokument behandlar höga naturvärden i avverkningsanmälan A 14785-2023 i Avesta kommun. Denna avverkningsanmälan inkom 2023-03-29 00:00:00 och omfattar 6,7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gråblå skinnlav (EN), mikroskapania (EN, §8), svämskapania (EN), timmerskapania (EN), korallblylav (S), piskbaronmossa (S), skinnlav (S) och trubbfjädermossa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4960"/>
            <wp:docPr id="1" name="Picture 1"/>
            <wp:cNvGraphicFramePr>
              <a:graphicFrameLocks noChangeAspect="1"/>
            </wp:cNvGraphicFramePr>
            <a:graphic>
              <a:graphicData uri="http://schemas.openxmlformats.org/drawingml/2006/picture">
                <pic:pic>
                  <pic:nvPicPr>
                    <pic:cNvPr id="0" name="A 14785-2023 karta.png"/>
                    <pic:cNvPicPr/>
                  </pic:nvPicPr>
                  <pic:blipFill>
                    <a:blip r:embed="rId16"/>
                    <a:stretch>
                      <a:fillRect/>
                    </a:stretch>
                  </pic:blipFill>
                  <pic:spPr>
                    <a:xfrm>
                      <a:off x="0" y="0"/>
                      <a:ext cx="5486400" cy="47349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6672580, E 585523 i SWEREF 99 TM.</w:t>
      </w:r>
    </w:p>
    <w:p>
      <w:r>
        <w:rPr>
          <w:b/>
        </w:rPr>
        <w:t>Gråblå skinnlav (EN)</w:t>
      </w:r>
      <w:r>
        <w:t xml:space="preserve"> är en sällsynt och starkt hotad lav som växer på klippor med sippervatten eller vid stränder där vattenståndet varierar under året samt på lövträd som asp och al i skogar med hög och jämn luftfuktighet. Hotet mot artens förekomster på asp är stort då dessa avverkas och i mycket begränsad omfattning nyskapas. Avverkning eller utglesning av träd- och buskskikt vid förekomster på klippor utgör också ett hot då detta medför en förändring av lokalklimatet. Arten är placerad högst upp i Skogsstyrelsens värdepyramid för bedömning av skog med höga naturvärden och alla lokaler bör skyddas (SLU Artdatabanken, 2024; Nitare &amp; Skogsstyrelsen).</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Piskbaronmossa</w:t>
      </w:r>
      <w:r>
        <w:t xml:space="preserve"> indikerar skog med lång kontinuitet och biotoper med höga naturvärden. Den växer mest i skuggig skogsmiljö, antingen i äldre ädellövskog på till exempel gammelträd eller i branter där det finns neutrala eller basiska bergarter. Piskbaronmossa är typisk art för </w:t>
      </w:r>
      <w:r>
        <w:rPr>
          <w:i/>
        </w:rPr>
        <w:t>9020 Nordlig ädellövskog, 9080 Lövsumpskog, 9130 Näringsrik bokskog, 9160 Näringsrik ekskog, 9180 Ädellövskog i branter</w:t>
      </w:r>
      <w:r>
        <w:t xml:space="preserve"> och</w:t>
      </w:r>
      <w:r>
        <w:rPr>
          <w:i/>
        </w:rPr>
        <w:t xml:space="preserve"> 9750 Svämlövskog </w:t>
      </w:r>
      <w:r>
        <w:t>(Nitare &amp; Skogsstyrelsen, 2019;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Svämskapania (EN)</w:t>
      </w:r>
      <w:r>
        <w:t xml:space="preserve"> växer i skuggiga skogsmiljöer på död ved av lågor som tidvis översvämmas. Arten är rödlistad som starkt hotad (EN) i den europeiska rödlistan och omfattas av ett åtgärdsprogram för hotade arter (ÅGP). Alla skogsskötselåtgärder på eller i närheten av lokalerna utgör ett hot och alla nu kända och eventuella nyupptäckta förekomster bör skyddas så att inga skogsbruksåtgärder tillåts i närheten av där arten förekommer. Även alla åtgärder som kan förändra hydrologin i området bör förhindras (IUCN, 2024; SLU Artdatabanken, 2024; Naturvårdsverket 2015).</w:t>
      </w:r>
    </w:p>
    <w:p>
      <w:r>
        <w:rPr>
          <w:b/>
        </w:rPr>
        <w:t>Timmerskapania (EN)</w:t>
      </w:r>
      <w:r>
        <w:t xml:space="preserve"> växer på hård ved som tidvis blöts ned och hittas ofta på omkullfallna trädstammar intill vattendrag och skogstjärnar, i skuggigt läge. Arten är rödlistad som nära hotad (NT) i den europeiska rödlistan och omfattas av ett åtgärdsprogram för hotade arter (ÅGP). Alla skogsskötselåtgärder på eller i närheten av lokalerna utgör ett hot och samtliga aktuella fyndlokaler måste ges ett ändamålsenligt skydd vilket måste inkludera en god tillgång på död ved liksom expositionsskydd samt att livsmiljöerna inte tillåts torka upp under någon längre period. (IUCN, 2024; SLU Artdatabanken, 2024; Naturvårdsverket 2015).</w:t>
      </w:r>
    </w:p>
    <w:p>
      <w:r>
        <w:rPr>
          <w:b/>
        </w:rPr>
        <w:t>Trubbfjädermossa</w:t>
      </w:r>
      <w:r>
        <w:t xml:space="preserve"> signalerar vanligtvis skog med höga naturvärden och den växer på något skuggade block eller trädbaser, oftast nära marken, eller på jord intill vattendrag. Den trivs bäst i ädellövskog och förekommer ofta tillsammans med baronmossor </w:t>
      </w:r>
      <w:r>
        <w:rPr>
          <w:i/>
        </w:rPr>
        <w:t>Anomodon</w:t>
      </w:r>
      <w:r>
        <w:t xml:space="preserve"> och fjädermossor</w:t>
      </w:r>
      <w:r>
        <w:rPr>
          <w:i/>
        </w:rPr>
        <w:t xml:space="preserve"> Neckera</w:t>
      </w:r>
      <w:r>
        <w:t xml:space="preserve">. Trubbfjädermossa är typisk art för </w:t>
      </w:r>
      <w:r>
        <w:rPr>
          <w:i/>
        </w:rPr>
        <w:t>9020 Nordlig ädellövskog,</w:t>
      </w:r>
      <w:r>
        <w:t xml:space="preserve"> </w:t>
      </w:r>
      <w:r>
        <w:rPr>
          <w:i/>
        </w:rPr>
        <w:t xml:space="preserve">9080 Lövsumpskog, 9750 Svämlövskog, 9110 Näringsfattig bokskog, 9130 Näringsrik bokskog </w:t>
      </w:r>
      <w:r>
        <w:t xml:space="preserve">och </w:t>
      </w:r>
      <w:r>
        <w:rPr>
          <w:i/>
        </w:rPr>
        <w:t xml:space="preserve">9760 Svämädellövskog </w:t>
      </w:r>
      <w:r>
        <w:t>(Nitare &amp; Skogsstyrelsen, 2019; SLU Artdatabanken, 2025).</w:t>
      </w:r>
    </w:p>
    <w:p>
      <w:pPr>
        <w:pStyle w:val="Heading1"/>
      </w:pPr>
      <w:r>
        <w:t>Fridlysta arter</w:t>
      </w:r>
    </w:p>
    <w:p>
      <w:r>
        <w:t>Följande fridlysta arter har sina livsmiljöer och växtplatser i den avverkningsanmälda skogen: mikroskapania (EN, §8).</w:t>
      </w:r>
    </w:p>
    <w:p>
      <w:r>
        <w:rPr>
          <w:b/>
        </w:rPr>
        <w:t>Mikroskapania (EN, §8)</w:t>
      </w:r>
      <w:r>
        <w:t xml:space="preserve"> omfattas av EU:s art- och habitatdirektiv där dess bevarandestatus är dålig med negativ trend. Arten är rödlistad som starkt hotad (EN) i den europeiska rödlistan, fridlyst enligt 8 § artskyddsförordningen och omfattas av ett åtgärdsprogram för hotade arter (ÅGP). Mikroskapania växer på död ved som regelbundet översvämmas av vatten, men oftast bara under en kort period av året. Den kan påträffas vid strömmande eller forsande sträckor av mindre till medelstora skogsbäckar samt vid lokar och glupar omgivna av skog, dvs. periodvis vattenfyllda svackor i skogen, främst där det finns rikligt med död ved. Alla skogsskötselåtgärder på eller i omedelbar närhet av växtplatserna utgör hot mot artens fortlevnad (IUCN, 2024; SLU Artdatabanken, 2024; Naturvårdsverket 2015).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