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31138-2023 i Avesta kommun</w:t>
      </w:r>
    </w:p>
    <w:p>
      <w:r>
        <w:t>Detta dokument behandlar höga naturvärden i avverkningsanmälan A 31138-2023 i Avesta kommun. Denna avverkningsanmälan inkom 2023-06-26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klosterlav (VU), liten blekspik (VU), dvärgtufs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1138-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6676632, E 587608 i SWEREF 99 TM.</w:t>
      </w:r>
    </w:p>
    <w:p>
      <w:r>
        <w:rPr>
          <w:b/>
        </w:rPr>
        <w:t>Klosterlav (VU)</w:t>
      </w:r>
      <w:r>
        <w:t xml:space="preserve"> växer på grov bark på stammar av framför allt ädellövträd som ask, bok, alm, lönn och lind, men fynd finns även på fläder och knäckepil. Klosterlaven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klosterlaven. Klosterlaven gynnas av att man sparar skog med lång kontinuitet, gamla vårdträd och lövängar. Alltför snabbt upptagande av hävden av lövängar kan innebära att laven skadas av den snabba förändringen till ett ljusare och torrare lokalklimat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