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14785-2023 i Avesta kommun</w:t>
      </w:r>
    </w:p>
    <w:p>
      <w:r>
        <w:t>Detta dokument behandlar höga naturvärden i avverkningsanmälan A 14785-2023 i Avesta kommun. Denna avverkningsanmälan inkom 2023-03-29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r>
        <w:rPr>
          <w:b/>
        </w:rPr>
        <w:t>Gråblå skinnlav (EN)</w:t>
      </w:r>
      <w:r>
        <w:t xml:space="preserve"> är en sällsynt och starkt hotad lav som växer på klippor med sippervatten eller vid stränder där vattenståndet varierar under året samt på lövträd som asp och al i skogar med hög och jämn luftfuktighet. Hotet mot artens förekomster på asp är stort då dessa avverkas och i mycket begränsad omfattning nyskapas. Avverkning eller utglesning av träd- och buskskikt vid förekomster på klippor utgör också ett hot då detta medför en förändring av lokalklimatet. Arten är placerad högst upp i Skogsstyrelsens värdepyramid för bedömning av skog med höga naturvärden och alla lokaler bör skyddas (SLU Artdatabanken, 2024; Nitare &amp; Skogsstyrelsen).</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Svämskapania (EN)</w:t>
      </w:r>
      <w:r>
        <w:t xml:space="preserve"> växer i skuggiga skogsmiljöer på död ved av lågor som tidvis översvämmas. Arten är rödlistad som starkt hotad (EN) i den europeiska rödlistan och omfattas av ett åtgärdsprogram för hotade arter (ÅGP). Alla skogsskötselåtgärder på eller i närheten av lokalerna utgör ett hot och alla nu kända och eventuella nyupptäckta förekomster bör skyddas så att inga skogsbruksåtgärder tillåts i närheten av där arten förekommer. Även alla åtgärder som kan förändra hydrologin i området bör förhindras (IUCN, 2024; SLU Artdatabanken, 2024; Naturvårdsverket 2015).</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