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56571-2023 i Avesta kommun</w:t>
      </w:r>
    </w:p>
    <w:p>
      <w:r>
        <w:t>Denna tillsynsbegäran behandlar höga naturvärden i avverkningsanmälan A 56571-2023 i Avesta kommun som inkom 2023-11-13 och omfattar 6,1 ha.</w:t>
      </w:r>
    </w:p>
    <w:p>
      <w:pPr>
        <w:pStyle w:val="Caption"/>
      </w:pPr>
      <w:r>
        <w:drawing>
          <wp:inline xmlns:a="http://schemas.openxmlformats.org/drawingml/2006/main" xmlns:pic="http://schemas.openxmlformats.org/drawingml/2006/picture">
            <wp:extent cx="5486400" cy="4643812"/>
            <wp:docPr id="1" name="Picture 1"/>
            <wp:cNvGraphicFramePr>
              <a:graphicFrameLocks noChangeAspect="1"/>
            </wp:cNvGraphicFramePr>
            <a:graphic>
              <a:graphicData uri="http://schemas.openxmlformats.org/drawingml/2006/picture">
                <pic:pic>
                  <pic:nvPicPr>
                    <pic:cNvPr id="0" name="A 56571-2023 karta.png"/>
                    <pic:cNvPicPr/>
                  </pic:nvPicPr>
                  <pic:blipFill>
                    <a:blip r:embed="rId16"/>
                    <a:stretch>
                      <a:fillRect/>
                    </a:stretch>
                  </pic:blipFill>
                  <pic:spPr>
                    <a:xfrm>
                      <a:off x="0" y="0"/>
                      <a:ext cx="5486400" cy="464381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6672393, E 585314 i SWEREF 99 TM.</w:t>
      </w:r>
    </w:p>
    <w:p>
      <w:r>
        <w:t>Inom 9 meter från avverkningsanmälan finns fynd av 1 naturvårdsarter, varav 1 är rödlistad: gråblå skinnlav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Gråblå skinnlav (VU)</w:t>
      </w:r>
      <w:r>
        <w:t xml:space="preserve"> är en sällsynt lav som växer på klippor med sippervatten eller vid stränder där vattenståndet varierar under året samt på lövträd som asp och al i skogar med hög och jämn luftfuktighet. Hotet mot artens förekomster på asp är stort då dessa avverkas och i mycket begränsad omfattning nyskapas. Avverkning eller utglesning av träd- och buskskikt vid förekomster på klippor utgör också ett hot då detta medför en förändring av lokalklimatet. Arten är placerad högst upp i Skogsstyrelsens värdepyramid för bedömning av skog med höga naturvärden och alla lokaler bör skyddas (SLU Artdatabanken, 2026; Nitare &amp; Skogsstyrelsen).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