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31875-2025 i Avesta kommun</w:t>
      </w:r>
    </w:p>
    <w:p>
      <w:r>
        <w:t>Detta klagomål behandlar höga naturvärden i avverkningsanmälan A 31875-2025 i Avesta kommun som inkom 2025-06-26 och omfattar 2,6 ha.</w:t>
      </w:r>
    </w:p>
    <w:p>
      <w:pPr>
        <w:pStyle w:val="Caption"/>
      </w:pPr>
      <w:r>
        <w:drawing>
          <wp:inline xmlns:a="http://schemas.openxmlformats.org/drawingml/2006/main" xmlns:pic="http://schemas.openxmlformats.org/drawingml/2006/picture">
            <wp:extent cx="5486400" cy="4004506"/>
            <wp:docPr id="1" name="Picture 1"/>
            <wp:cNvGraphicFramePr>
              <a:graphicFrameLocks noChangeAspect="1"/>
            </wp:cNvGraphicFramePr>
            <a:graphic>
              <a:graphicData uri="http://schemas.openxmlformats.org/drawingml/2006/picture">
                <pic:pic>
                  <pic:nvPicPr>
                    <pic:cNvPr id="0" name="A 31875-2025 karta.png"/>
                    <pic:cNvPicPr/>
                  </pic:nvPicPr>
                  <pic:blipFill>
                    <a:blip r:embed="rId16"/>
                    <a:stretch>
                      <a:fillRect/>
                    </a:stretch>
                  </pic:blipFill>
                  <pic:spPr>
                    <a:xfrm>
                      <a:off x="0" y="0"/>
                      <a:ext cx="5486400" cy="4004506"/>
                    </a:xfrm>
                    <a:prstGeom prst="rect"/>
                  </pic:spPr>
                </pic:pic>
              </a:graphicData>
            </a:graphic>
          </wp:inline>
        </w:drawing>
      </w:r>
    </w:p>
    <w:p>
      <w:pPr>
        <w:pStyle w:val="Caption"/>
        <w:spacing w:after="240"/>
      </w:pPr>
      <w:r>
        <w:t>Figur 1. Fyndplatser för naturvårdsarter i och inom 10 meter från avverkningsanmälan. Markörer utan svart kant är placerade på fyndplatsen. Markörer med svart kant är placerade vid sidan av fyndplatsen och har ett svart streck som visar fyndplatsens exakta position. Kartans mittpunktskoordinat är N 6666354, E 564837 i SWEREF 99 TM.</w:t>
      </w:r>
    </w:p>
    <w:p>
      <w:r>
        <w:t>I och inom 10 meter från avverkningsanmälan finns fynd av 15 naturvårdsarter, varav 10 är rödlistade, 15 är fridlysta och 5 är typiska (T): grönfink (VU, §4), björktrast (NT, §4), duvhök (NT, §4), entita (NT, T, §4), gulsparv (NT, §4), järnsparv (NT, §4), nötkråka (NT, T, §4), rödvingetrast (NT, §4), sparvuggla (NT, §4), talltita (NT, §4), gråspett (T, §4), mattlummer (T, §9), spillkråka (T, §4), grönsiska (§4) och kungsfågel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Duvhök (NT, §4)</w:t>
      </w:r>
      <w:r>
        <w:t>, som är rödlistad som nära hotad, har minskat med 15 (0–30) % under de senaste 18 åren och minskningstakten för den svenska populationen bedöms vara nära gränsvärdet för sårbar (VU). Arten är starkt bunden till skogsmark och jagar helst inne i äldre skog. Den missgynnas av stora hyggen och täta planteringar. De gamla fåglarna är i huvudsak stationära i sina revir och boet läggs inne i tät, oftast äldre skog. Kantzoner mot öppen mark undviks och duvhöken, som är beroende av insynsskyddade boplatser, är därför känsligare för slutavverkning än flera andra rovfåglar. Friställande av boträd eller avverkning så att boplatsen blir exponerad mot öppen mark, medför att platsen överges. Eftersom duvhöken helst häckar i gammal skog, är dess häckningsplatser i princip alltid mer eller mindre hotade av skogsbruk och avverkningar (SLU Artdatabanken, 2026; Skogsstyrelsen 2016).</w:t>
      </w:r>
    </w:p>
    <w:p>
      <w:r>
        <w:rPr>
          <w:b/>
        </w:rPr>
        <w:t>Entita (NT, §4)</w:t>
      </w:r>
      <w:r>
        <w:t xml:space="preserve">, rödlistad som nära hotad och prioriterad art i Skogsvårdslagen, har häckningsrevir i anmälan. Minskningstakten innevarande 10-årsperiod beräknas till 20 (10–30) % och bedöms vara nära gränsvärdet för Sårbar (VU). Entitan är ortstrogen och reviret är i genomsnitt omkring 5 hektar, ibland uppåt 20 hektar stort. Entitan är en utpräglad lövskogsfågel som föredrar flerskiktade, gärna högvuxna skogar med inslag av äldre träd och välutvecklat buskskikt. Även alkärr med videsnår hör till de miljöer som utnyttjas. Arten häckar ofta i skogar som är svagt eller inte alls påverkade av skogsbruk, ofta rör det sig om värdekärnor med höga naturvärden. Entitan missgynnas av konventionellt skogsbruk och dess ortstrohet och dåliga spridningsförmåga gör den känslig för fragmentering. Entita är typisk art för </w:t>
      </w:r>
      <w:r>
        <w:rPr>
          <w:i/>
        </w:rPr>
        <w:t>9080 Lövsumpskog</w:t>
      </w:r>
      <w:r>
        <w:t xml:space="preserve"> (Skogsstyrelsen, 2016, SLU Artdatabanken, 2021).</w:t>
      </w:r>
    </w:p>
    <w:p>
      <w:r>
        <w:rPr>
          <w:b/>
        </w:rPr>
        <w:t>Nötkråka (NT, §4)</w:t>
      </w:r>
      <w:r>
        <w:t xml:space="preserve"> är uppdelad på de två underarterna tjocknäbbad nötkråka (NT) som häckar i mossrik granskog med närbelägna hasselbestånd i södra och mellersta Sverige samt smalnäbbad nötkråka som är specialiserad på sibirisk cembratall i norra Sverige. Minskningstakten, som framför allt rör den tjocknäbbade nötkråkan (NT), har uppgått till 25 (10–40) % under de senaste 15 åren och bedöms vara nära gränsvärdet för sårbar (VU). Minskningen avser förekomstarea, kvalitén på artens habitat (minskad förekomst av hassel och försämrade häckningsmiljöer i barrskog) och antalet reproduktiva individer. Reviren har en storlek på 12–15 hektar och den häckar i mossrik äldre granskog med närbelägna hasselbestånd inom 5–6 km avstånd från häckningsområdet.</w:t>
      </w:r>
    </w:p>
    <w:p>
      <w:r>
        <w:t xml:space="preserve">Avverkning, gallring och röjning av såväl granskog i häckningsreviret som hassel i födosöksområdena missgynnar nötkråkan kraftigt och det kan ta åtskilliga decennier innan skogen åter blir lämplig för häckning. För att säkerställa existensen för den tjocknäbbade nötkråkan bör de förekomster av hassel, som nu visat sig tillräckliga för nötkråkan, bevaras. Hasselbuskar bör inte huggas ned i hagmarker eller intill åkrar där nötkråkor födosöker, eftersom dessa fristående buskar ger betydligt mer nötter än hasselbuskar som står i skog. Likaså är bevarande av nuvarande karaktär hos sådan granskog, som nu genom angränsande hasselförekomst visat sig kunna hysa en nötkråkestam, nödvändig. Nötkråka är typisk art för </w:t>
      </w:r>
      <w:r>
        <w:rPr>
          <w:i/>
        </w:rPr>
        <w:t>9010 Taiga</w:t>
      </w:r>
      <w:r>
        <w:t xml:space="preserve"> (SLU Artdatabanken, 2026; Skogsstyrelsen, 2016).</w:t>
      </w:r>
    </w:p>
    <w:p>
      <w:r>
        <w:rPr>
          <w:b/>
        </w:rPr>
        <w:t>Sparvuggla (NT, §4)</w:t>
      </w:r>
      <w:r>
        <w:t xml:space="preserve"> är fridlyst enligt 4§ artskyddsförordningen och omfattas av bilaga 1 EU:s fågeldirektiv. Den har minskat med 15 (5–25) % under de senaste 15 åren och minskningstakten för den svenska populationen bedöms vara nära gränsvärdet för Sårbar (VU).  Sparvugglan häckar i naturskog samt i klassisk bondeskog och förekommer främst i större skogsområden som domineras av barrblandskog med stort inslag av asp, björk och andra lövträd. Den behöver relativt stora skogsområden och saknas helt i mindre skogar och isolerade dungar. Reviren är i storleksordningen upp till 200 hektar. Sparvugglan missgynnas av överföring av variationsrika bondeskogar till ensartade produktionsskogar. Särskilt avverkning av lövträdsrika kantzoner och igenplantering av gamla inägor (SLU Artdatabanken, 2026; Skogsstyrelsen, 2016).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Gråspett (§4)</w:t>
      </w:r>
      <w:r>
        <w:t xml:space="preserve"> är fridlyst enligt 4§ artskyddsförordningen och upptagen i bilaga 1 fågeldirektivet. Gråspetten är en bra indikator för lövrika områden på landskapsnivå och försvinner när gles, flerskiktad, lövrik skog med hög andel döda och döende träd ersätts av täta, barrdominerade likåldriga bestånd. Arten missgynnas av skogliga åtgärder som minskar mängden död ved, som t.ex. bortrensning av vindfällen, avverkning i sumpskogsmiljöer och på brandfält. Häckningsreviret är stort, cirka 50–100 hektar. Under vintern är gråspetten mer beroende av äldre skog och döda träd och kan då röra sig över betydligt större områden, uppemot 2000–5000 hektar. Gråspett är typisk art för </w:t>
      </w:r>
      <w:r>
        <w:rPr>
          <w:i/>
        </w:rPr>
        <w:t xml:space="preserve">9010 Taiga </w:t>
      </w:r>
      <w:r>
        <w:t>(Skogsstyrelsen, 2016; SLU Artdatabanken, 2025).</w:t>
      </w:r>
    </w:p>
    <w:p>
      <w:r>
        <w:rPr>
          <w:b/>
        </w:rPr>
        <w:t>Mattlummer (§9)</w:t>
      </w:r>
      <w:r>
        <w:t xml:space="preserve"> är typisk art för </w:t>
      </w:r>
      <w:r>
        <w:rPr>
          <w:i/>
        </w:rPr>
        <w:t xml:space="preserve">9010 Taiga </w:t>
      </w:r>
      <w:r>
        <w:t>(SLU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15 naturvårdsarter varav 10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Duvhök – ekologi samt krav på livsmiljön</w:t>
      </w:r>
    </w:p>
    <w:p>
      <w:r>
        <w:t>Duvhök (NT, §4) är rödlistad som nära hotad och fridlyst enligt 4§ artskyddsförordningen. Arten har minskat med 15 (0–30) % under de senaste 18 åren och minskningstakten för den svenska populationen bedöms vara nära gränsvärdet för sårbar (VU). Bedömningen baseras på direkt observation, ett för arten lämpligt abundansindex och minskad geografisk utbredning och/eller försämrad habitatkvalitet (allt yngre och tätare skogar vilket försvårar för boplacering samt missgynnar jaktmöjligheterna) (SLU Artdatabanken, 2026).</w:t>
      </w:r>
    </w:p>
    <w:p>
      <w:r>
        <w:t>Duvhöken är starkt bunden till skogsmark, såväl för häckning som födosök. Den påträffas oftast i större skogsområden med äldre skog, men kan ibland även häcka i dungar i områden dominerade av öppen mark. De gamla fåglarna är i huvudsak stationära i sina revir. Duvhöken jagar helst inne i äldre skog och missgynnas av stora hyggen och täta planteringar (Skogsstyrelsen, 2016).</w:t>
      </w:r>
    </w:p>
    <w:p>
      <w:r>
        <w:t>Boet läggs inne i tät, oftast äldre skog. Kantzoner mot öppen mark undviks och duvhöken är därför känsligare för slutavverkning än flera andra rovfåglar. Boträdet måste vara grovgrenigt och är oftast en äldre gran eller tall, i sydligaste Sverige är bok vanligt. Duvhöken är beroende av insynsskyddade boplatser. Friställande av boträd eller avverkning så att boplatsen är exponerad mot öppen mark, medför att platsen överges. Samma bo kan användas flera år i rad, men likt andra rovfåglar har den normalt ett eller flera alternativa bon (Skogsstyrelsen, 2016). Eftersom duvhöken helst häckar i gammal skog, är dess häckningsplatser i princip alltid mer eller mindre hotade av skogsbruk och avverkningar (SLU Artdatabanken, 2026).</w:t>
      </w:r>
    </w:p>
    <w:p>
      <w:r>
        <w:t>Den viktigaste begränsande faktorn för duvhökspopulationen i stort är födan och ett allvarligare problem är därför den av skogsbruket orsakade storskaliga omvandlingen och utarmningen av skogslandskapet, som kan påverka såväl duvhökens möjlighet att jaga som förekomsten av viktiga byten. Duvhökens jaktteknik gör den beroende av landskapets utformning och sammansättning och dess preferens för gammal skog tyder på att den är anpassad till att jaga i skog som är “lagom” tät. I öppnare biotoper, till exempel hyggen, kommer dess jaktteknik inte till sin rätt och i tätare biotoper, t.ex. ungskogar, har den relativt stora duvhöken svårt att manövrera (SLU Artdatabanken, 2026).</w:t>
      </w:r>
    </w:p>
    <w:p>
      <w:pPr>
        <w:pStyle w:val="Heading2"/>
      </w:pPr>
      <w:r>
        <w:t>Referenser – duvhök</w:t>
      </w:r>
    </w:p>
    <w:p>
      <w:r>
        <w:t xml:space="preserve">Skogsstyrelsen, 2016. </w:t>
      </w:r>
      <w:r>
        <w:rPr>
          <w:i/>
        </w:rPr>
        <w:t xml:space="preserve">Duvhök – Vägledning för hänsyn till fåglar. </w:t>
      </w:r>
      <w:r>
        <w:t>https://www.skogsstyrelsen.se/globalassets/lag-och-tillsyn/artskydd/vagledningar-for-hansyn-till-faglar/duvhok-vagledning-hansyn2.pdf</w:t>
      </w:r>
    </w:p>
    <w:p>
      <w:r>
        <w:t xml:space="preserve">SLU Artdatabanken, 2026. </w:t>
      </w:r>
      <w:r>
        <w:rPr>
          <w:i/>
        </w:rPr>
        <w:t xml:space="preserve">Artfaktablad. Naturvård – artfakta. </w:t>
      </w:r>
      <w:r>
        <w:t>SLU Artdatabanken, Uppsala</w:t>
      </w:r>
    </w:p>
    <w:p>
      <w:pPr>
        <w:pStyle w:val="Heading1"/>
      </w:pPr>
      <w:r>
        <w:t>Entita – ekologi samt krav på livsmiljön</w:t>
      </w:r>
    </w:p>
    <w:p>
      <w:r>
        <w:t xml:space="preserve">Entita (NT, §4) är rödlistad som nära hotad, fridlyst och prioriterad art enligt Skogsvårdslagen. Den omfattas av EU:s fågeldirektiv och är typisk art för </w:t>
      </w:r>
      <w:r>
        <w:rPr>
          <w:i/>
        </w:rPr>
        <w:t>9080 Lövsumpskog</w:t>
      </w:r>
      <w:r>
        <w:t>. Minskningstakten har uppgått till 20 (10–30) % under de senaste 10 åren och bedöms vara nära gränsvärdet för Sårbar (VU). (A2b) (SLU Artdatabanken, 2021).</w:t>
      </w:r>
    </w:p>
    <w:p>
      <w:r>
        <w:t>Entitan är en utpräglad lövskogsfågel som påträffas i ädellövskogar, strandskogar, ekhagar, igenväxande hagmarker, lövdungar, parker och trädgårdar. Den föredrar flerskiktade, gärna högvuxna skogar med inslag av äldre träd och med ett välutvecklat buskskikt. Ek- och hasseldominerade skogar och dungar, samt alkärr med videsnår, hör till de miljöer som ofta utnyttjas. I sydligaste Sverige är bokskog en viktig miljö (Skogsstyrelsen, 2016).</w:t>
      </w:r>
    </w:p>
    <w:p>
      <w:r>
        <w:t>Reviren är relativt stora för en småfågel, i genomsnitt omkring 5 hektar men de kan vara upp till 20 hektar. Entitan är en utpräglad stannfågel och rör sig inte långt från kläckningsplatsen; ungfåglarna sprider sig sällan mer än 5 km från födelseplatsen och etablerade fåglar lämnar därefter inte sitt revir (Skogsstyrelsen, 2016). Det häckande paret försvarar sitt revir året runt. De tillåter dock en grupp av ungfåglar att etablera sig inom deras revir och så bildas en vinterflock, vilket sker redan i juni månad. Även under kalla vintrar stannar entitan kvar inom sitt revir. Hittar man entitor vid sitt foderbord beror det på att fågelmatningen ligger inom ett entiterevir (SLU Artdatabanken, 2021). Arten är känslig för fragmentering och har svårt att etablera sig i isolerade skogsområden. Entitan är hålhäckare, men kan inte själv hacka fram sitt hål utan är beroende av miljöer som erbjuder naturliga hål (Skogsstyrelsen, 2016).</w:t>
      </w:r>
    </w:p>
    <w:p>
      <w:r>
        <w:t>Arten häckar ofta i skogar som är svagt eller inte alls påverkade av skogsbruk. Särskilt i Svealand ofta i skogar som har höga naturvärden och utgör skogliga värdekärnor. Entitan missgynnas av konventionellt skogsbruk genom minskad förekomst av risiga, flerskiktade skogar liksom av avverkning av lövträdsrika kantzoner. Entitans ortstrohet och dåliga spridningsförmåga gör den känslig för fragmentering (Skogsstyrelsen, 2016).</w:t>
      </w:r>
    </w:p>
    <w:p>
      <w:pPr>
        <w:pStyle w:val="Heading2"/>
      </w:pPr>
      <w:r>
        <w:t>Referenser – entita</w:t>
      </w:r>
    </w:p>
    <w:p>
      <w:r>
        <w:t xml:space="preserve">Skogsstyrelsen, 2016. </w:t>
      </w:r>
      <w:r>
        <w:rPr>
          <w:i/>
        </w:rPr>
        <w:t xml:space="preserve">Vägledning för hänsyn till entita. </w:t>
      </w:r>
      <w:r>
        <w:t>https://www.skogsstyrelsen.se/globalassets/lag-och-tillsyn/artskydd/vagledningar-for-hansyn-till-faglar/entita-vagledning-hansyn2.pdf</w:t>
      </w:r>
    </w:p>
    <w:p>
      <w:r>
        <w:t xml:space="preserve">SLU Artdatabanken, 2021. </w:t>
      </w:r>
      <w:r>
        <w:rPr>
          <w:i/>
        </w:rPr>
        <w:t xml:space="preserve">Artfaktablad. Naturvård – artfakta. </w:t>
      </w:r>
      <w:r>
        <w:t>SLU Artdatabanken, Uppsala</w:t>
      </w:r>
    </w:p>
    <w:p>
      <w:pPr>
        <w:pStyle w:val="Heading1"/>
      </w:pPr>
      <w:r>
        <w:t>Sparvuggla – ekologi samt krav på livsmiljön</w:t>
      </w:r>
    </w:p>
    <w:p>
      <w:r>
        <w:t>Sparvuggla (NT, §4) är fridlyst enligt 4§ artskyddsförordningen och omfattas av bilaga 1 EU:s fågeldirektiv. Den har minskat med 15 (5–25) % under de senaste 15 åren och minskningstakten för den svenska populationen bedöms vara nära gränsvärdet för Sårbar (VU) (SLU Artdatabanken 2026).</w:t>
      </w:r>
    </w:p>
    <w:p>
      <w:r>
        <w:t>Sparvugglan häckar i naturskog samt i klassisk bondeskog och förekommer främst i större skogsområden som domineras av barrblandskog med stort inslag av asp, björk och andra lövträd. Den behöver relativt stora skogsområden och saknas helt i mindre skogar och isolerade dungar. Reviren är i storleksordningen upp till 200 hektar. Sparvugglan missgynnas av överföring av variationsrika bondeskogar till ensartade produktionsskogar – särskilt avverkning av lövträdsrika kantzoner och igenplantering av gamla inägor (Skogsstyrelsen, 2016).</w:t>
      </w:r>
    </w:p>
    <w:p>
      <w:pPr>
        <w:pStyle w:val="Heading2"/>
      </w:pPr>
      <w:r>
        <w:t>Referenser – sparvuggla</w:t>
      </w:r>
    </w:p>
    <w:p>
      <w:r>
        <w:t xml:space="preserve">Skogsstyrelsen, 2016. </w:t>
      </w:r>
      <w:r>
        <w:rPr>
          <w:i/>
        </w:rPr>
        <w:t>Vägledning för hänsyn till sparvuggla.</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