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51928-2024 i Ludvika kommun</w:t>
      </w:r>
    </w:p>
    <w:p>
      <w:r>
        <w:t>Detta dokument behandlar höga naturvärden i avverkningsanmälan A 51928-2024 i Ludvika kommun. Denna avverkningsanmälan inkom 2024-11-11 14:57:17 och omfattar 27,9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brunpudrad nållav (NT), gulnål (S), kornig nållav (S) och vedticka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30365"/>
            <wp:docPr id="1" name="Picture 1"/>
            <wp:cNvGraphicFramePr>
              <a:graphicFrameLocks noChangeAspect="1"/>
            </wp:cNvGraphicFramePr>
            <a:graphic>
              <a:graphicData uri="http://schemas.openxmlformats.org/drawingml/2006/picture">
                <pic:pic>
                  <pic:nvPicPr>
                    <pic:cNvPr id="0" name="A 51928-2024 karta.png"/>
                    <pic:cNvPicPr/>
                  </pic:nvPicPr>
                  <pic:blipFill>
                    <a:blip r:embed="rId16"/>
                    <a:stretch>
                      <a:fillRect/>
                    </a:stretch>
                  </pic:blipFill>
                  <pic:spPr>
                    <a:xfrm>
                      <a:off x="0" y="0"/>
                      <a:ext cx="5486400" cy="44303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6665969, E 467107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 xml:space="preserve">Kornig nållav </w:t>
      </w:r>
      <w:r>
        <w:t xml:space="preserve">förekommer i skuggiga miljöer med hög luftfuktighet och påträffas främst i gamla skogar eller på gamla träd. Den signalerar höga naturvärden och på lokalerna finns ofta flera ovanliga och rödlistade arter. Kornig nållav är typisk art för </w:t>
      </w:r>
      <w:r>
        <w:rPr>
          <w:i/>
        </w:rPr>
        <w:t xml:space="preserve">9110 Näringsfattig bokskog </w:t>
      </w:r>
      <w:r>
        <w:t>och</w:t>
      </w:r>
      <w:r>
        <w:rPr>
          <w:i/>
        </w:rPr>
        <w:t xml:space="preserve"> 9130 Näringsrik bokskog</w:t>
      </w:r>
      <w:r>
        <w:t xml:space="preserve"> (SLU Artdatabanken, 2024;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2026-03-18</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