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23658-2025 i Ludvika kommun</w:t>
      </w:r>
    </w:p>
    <w:p>
      <w:r>
        <w:t>Denna tillsynsbegäran behandlar höga naturvärden i avverkningsanmälan A 23658-2025 i Ludvika kommun som inkom 2025-05-09 och omfattar 7,1 ha.</w:t>
      </w:r>
    </w:p>
    <w:p>
      <w:pPr>
        <w:pStyle w:val="Caption"/>
      </w:pPr>
      <w:r>
        <w:drawing>
          <wp:inline xmlns:a="http://schemas.openxmlformats.org/drawingml/2006/main" xmlns:pic="http://schemas.openxmlformats.org/drawingml/2006/picture">
            <wp:extent cx="5486400" cy="4801631"/>
            <wp:docPr id="1" name="Picture 1"/>
            <wp:cNvGraphicFramePr>
              <a:graphicFrameLocks noChangeAspect="1"/>
            </wp:cNvGraphicFramePr>
            <a:graphic>
              <a:graphicData uri="http://schemas.openxmlformats.org/drawingml/2006/picture">
                <pic:pic>
                  <pic:nvPicPr>
                    <pic:cNvPr id="0" name="A 23658-2025 karta.png"/>
                    <pic:cNvPicPr/>
                  </pic:nvPicPr>
                  <pic:blipFill>
                    <a:blip r:embed="rId16"/>
                    <a:stretch>
                      <a:fillRect/>
                    </a:stretch>
                  </pic:blipFill>
                  <pic:spPr>
                    <a:xfrm>
                      <a:off x="0" y="0"/>
                      <a:ext cx="5486400" cy="4801631"/>
                    </a:xfrm>
                    <a:prstGeom prst="rect"/>
                  </pic:spPr>
                </pic:pic>
              </a:graphicData>
            </a:graphic>
          </wp:inline>
        </w:drawing>
      </w:r>
    </w:p>
    <w:p>
      <w:pPr>
        <w:pStyle w:val="Caption"/>
        <w:spacing w:after="240"/>
      </w:pPr>
      <w:r>
        <w:t>Figur 1. Fyndplatser för naturvårdsarter i och inom 20 meter från avverkningsanmälan. Markörer utan svart kant är placerade på fyndplatsen. Markörer med svart kant är placerade vid sidan av fyndplatsen och har ett svart streck som visar fyndplatsens exakta position. Kartans mittpunktskoordinat är N 6664342, E 483450 i SWEREF 99 TM.</w:t>
      </w:r>
    </w:p>
    <w:p>
      <w:r>
        <w:t>I och inom 20 meter från avverkningsanmälan finns fynd av 8 naturvårdsarter, varav 6 är rödlistade, 7 är fridlysta och 2 är typiska (T): tornseglare (VU, §4), entita (NT, T, §4), fjällig taggsvamp s.str. (NT), grönsångare (NT, §4), nordfladdermus (NT, §4a), talltita (NT, §4), tjäder (T, §4) och vattenfladdermus (§4a).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Tornseglare (VU, §4)</w:t>
      </w:r>
      <w:r>
        <w:t xml:space="preserve"> har minskat med 40 (30–50) % under de senaste 24 åren och minskningstakten överstiger gränsvärdet för sårbar (VU). Tornseglaren är en typisk hålhäckare som numera huvudsakligen är knuten till mänsklig bebyggelse. En mindre andel av beståndet häckar i mer ursprungliga miljöer, i första hand i gamla hackspetthål (främst spillkråkehål) och andra typer av håligheter i träd, men även i klippskrevor. I de inre delarna av de två nordligaste länen (Lappland) häckar den huvudsakligen i ren skogsmiljö, framförallt i gammal gles tallskog. För de tornseglare som häckar i träd i Norrlands inland har situationen sannolikt försämrats till följd av minskad mängd hålträd och av stora arealer tät produktionsskog. När arten förekommer i sluten skog handlar det ofta om skyddsvärda skogsmiljöer med äldre tallskog av naturskogskaraktär (SLU Artdatabanken, 2026; Skogsstyrelsen, 2016).</w:t>
      </w:r>
    </w:p>
    <w:p>
      <w:r>
        <w:rPr>
          <w:b/>
        </w:rPr>
        <w:t>Entita (NT, §4)</w:t>
      </w:r>
      <w:r>
        <w:t xml:space="preserve">, rödlistad som nära hotad och prioriterad art i Skogsvårdslagen, har häckningsrevir i anmälan. Minskningstakten innevarande 10-årsperiod beräknas till 20 (10–30) % och bedöms vara nära gränsvärdet för Sårbar (VU).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Entita är typisk art för </w:t>
      </w:r>
      <w:r>
        <w:rPr>
          <w:i/>
        </w:rPr>
        <w:t>9080 Lövsumpskog</w:t>
      </w:r>
      <w:r>
        <w:t xml:space="preserve"> (Skogsstyrelsen, 2016, SLU Artdatabanken, 2021).</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Grönsångare (NT, §4)</w:t>
      </w:r>
      <w:r>
        <w:t xml:space="preserve"> är rödlistad som nära hotad (NT) och fridlyst enligt 4§ artskyddsförordningen. Den har minskat med 17 (6–24) % under de senaste 10 åren och minskningstakten för den svenska populationen bedöms vara nära gränsvärdet för Sårbar (VU). (A2b). Arten häckar i högstammig skog, främst lövskog men även i granskog, i regel utan kraftigare undervegetation. Den förekommer i södra och mellersta Sverige samt i Norrlands kustland norrut till Norrbotten. Förekommer dessutom sällsynt i Norrlands inland (SLU Artdatabanken, 2024). Orsaken till grönsångarens nedgång och är oklar varvid det är viktigt att försiktighetsprincipen enligt 2 kap. 3 § miljöbalken tillämpas för att bevara artens livsmiljöer och vända den negativa trenden.</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rPr>
          <w:b/>
        </w:rPr>
        <w:t>Vattenfladdermus (§4a)</w:t>
      </w:r>
      <w:r>
        <w:t xml:space="preserve"> omfattas av bilaga 4 EU:s art- och habitatdirektiv vilket innebär ett strikt skydd där arten och dess livsmiljöer ska bevaras. Arten förekommer mest vid vatten, vid både sjöar och vattendrag där den födosöker antingen tätt ovanför vattenytan eller i strandskog. Kolonin kan ligga ganska långt från vatten och den kan ibland jaga i skog flera kilometer från vatten. För vattenfladdermusen bör framförallt åtgärder planeras och vidtas i strandnära områden. Sumpskog och hålträd behöver bevaras och återskapas. Gamla träd med grov bark, skador, håligheter eller döda delar bör lämnas och yngre träd (efterträdare) tillåtas finnas kvar och åldras för att säkra framtida förekomst av lämpliga yngelmiljöer. Övervintringsplatser måste skyddas effektivt från störningar. Vattenfladdermus är typisk art för </w:t>
      </w:r>
      <w:r>
        <w:rPr>
          <w:i/>
        </w:rPr>
        <w:t>8310 Grottor</w:t>
      </w:r>
      <w:r>
        <w:t xml:space="preserve"> och </w:t>
      </w:r>
      <w:r>
        <w:rPr>
          <w:i/>
        </w:rPr>
        <w:t>8330 Havsgrottor</w:t>
      </w:r>
      <w:r>
        <w:t xml:space="preserve">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Entita – ekologi samt krav på livsmiljön</w:t>
      </w:r>
    </w:p>
    <w:p>
      <w:r>
        <w:t xml:space="preserve">Entita (NT, §4) är rödlistad som nära hotad, fridlyst och prioriterad art enligt Skogsvårdslagen. Den omfattas av EU:s fågeldirektiv och är typisk art för </w:t>
      </w:r>
      <w:r>
        <w:rPr>
          <w:i/>
        </w:rPr>
        <w:t>9080 Lövsumpskog</w:t>
      </w:r>
      <w:r>
        <w:t>.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