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klagomål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och inom 8 meter från avverkningsanmälan finns fynd av 2 naturvårdsarter, varav 2 är rödlistade, 1 är fridlyst och 1 är typisk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