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30447-2022 i Ludvika kommun</w:t>
      </w:r>
    </w:p>
    <w:p>
      <w:r>
        <w:t>Detta dokument behandlar höga naturvärden i avverkningsanmälan A 30447-2022 i Ludvika kommun. Denna avverkningsanmälan inkom 2022-07-19 och omfattar 15,3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aspgelélav (VU), läderlappslav (VU), bårdlav (S), gytterlav (S), skinnlav (S), fläcknycklar (§8), mattlummer (§9)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95472"/>
            <wp:docPr id="1" name="Picture 1"/>
            <wp:cNvGraphicFramePr>
              <a:graphicFrameLocks noChangeAspect="1"/>
            </wp:cNvGraphicFramePr>
            <a:graphic>
              <a:graphicData uri="http://schemas.openxmlformats.org/drawingml/2006/picture">
                <pic:pic>
                  <pic:nvPicPr>
                    <pic:cNvPr id="0" name="A 30447-2022 karta.png"/>
                    <pic:cNvPicPr/>
                  </pic:nvPicPr>
                  <pic:blipFill>
                    <a:blip r:embed="rId16"/>
                    <a:stretch>
                      <a:fillRect/>
                    </a:stretch>
                  </pic:blipFill>
                  <pic:spPr>
                    <a:xfrm>
                      <a:off x="0" y="0"/>
                      <a:ext cx="5486400" cy="63954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6655757, E 472712 i SWEREF 99 TM.</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(SLU Artdatabanken, 2024).</w:t>
      </w:r>
    </w:p>
    <w:p>
      <w:r>
        <w:rPr>
          <w:b/>
        </w:rPr>
        <w:t>Läderlappslav (VU)</w:t>
      </w:r>
      <w:r>
        <w:t xml:space="preserve"> växer på gamla lövträd, främst lönn, rönn, asp och ask, på lokaler med hög luftfuktighet. Lämpliga lokaler bör skyddas. Tills vidare bör lokaler i skog undantas från rationell skogsskötsel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pPr>
        <w:pStyle w:val="Heading1"/>
      </w:pPr>
      <w:r>
        <w:t>Fridlysta arter</w:t>
      </w:r>
    </w:p>
    <w:p>
      <w:r>
        <w:t>Följande fridlysta arter har sina livsmiljöer och växtplatser i den avverkningsanmälda skogen: fläcknycklar (§8), mattlummer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