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och inom 8 meter från avverkningsanmälan finns fynd av 2 naturvårdsarter, varav 2 är rödlistade, 1 är fridlyst och 1 är typisk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