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43226-2025 i Ludvika kommun</w:t>
      </w:r>
    </w:p>
    <w:p>
      <w:r>
        <w:t>Denna tillsynsbegäran behandlar höga naturvärden i avverkningsanmälan A 43226-2025 i Ludvika kommun som inkom 2025-09-10 och omfattar 1,1 ha.</w:t>
      </w:r>
    </w:p>
    <w:p>
      <w:pPr>
        <w:pStyle w:val="Caption"/>
      </w:pPr>
      <w:r>
        <w:drawing>
          <wp:inline xmlns:a="http://schemas.openxmlformats.org/drawingml/2006/main" xmlns:pic="http://schemas.openxmlformats.org/drawingml/2006/picture">
            <wp:extent cx="5486400" cy="5582553"/>
            <wp:docPr id="1" name="Picture 1"/>
            <wp:cNvGraphicFramePr>
              <a:graphicFrameLocks noChangeAspect="1"/>
            </wp:cNvGraphicFramePr>
            <a:graphic>
              <a:graphicData uri="http://schemas.openxmlformats.org/drawingml/2006/picture">
                <pic:pic>
                  <pic:nvPicPr>
                    <pic:cNvPr id="0" name="A 43226-2025 karta.png"/>
                    <pic:cNvPicPr/>
                  </pic:nvPicPr>
                  <pic:blipFill>
                    <a:blip r:embed="rId16"/>
                    <a:stretch>
                      <a:fillRect/>
                    </a:stretch>
                  </pic:blipFill>
                  <pic:spPr>
                    <a:xfrm>
                      <a:off x="0" y="0"/>
                      <a:ext cx="5486400" cy="55825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6686287, E 508239 i SWEREF 99 TM.</w:t>
      </w:r>
    </w:p>
    <w:p>
      <w:r>
        <w:t>I avverkningsanmälan finns fynd av 3 naturvårdsarter, varav 1 är rödlistad, 1 är fridlyst, 2 är typiska (T) och 2 är signalarter (S): tretåig hackspett (NT, T, §4), rävticka (S, T) och rödgul trumpetsvamp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Rävticka</w:t>
      </w:r>
      <w:r>
        <w:t xml:space="preserve"> är typisk art för </w:t>
      </w:r>
      <w:r>
        <w:rPr>
          <w:i/>
        </w:rPr>
        <w:t xml:space="preserve">9010 Taiga </w:t>
      </w:r>
      <w:r>
        <w:t>(SLU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