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52779-2025 i Ludvika kommun</w:t>
      </w:r>
    </w:p>
    <w:p>
      <w:r>
        <w:t>Denna tillsynsbegäran behandlar höga naturvärden i avverkningsanmälan A 52779-2025 i Ludvika kommun som inkom 2025-10-27 och omfattar 0,5 ha.</w:t>
      </w:r>
    </w:p>
    <w:p>
      <w:pPr>
        <w:pStyle w:val="Caption"/>
      </w:pPr>
      <w:r>
        <w:drawing>
          <wp:inline xmlns:a="http://schemas.openxmlformats.org/drawingml/2006/main" xmlns:pic="http://schemas.openxmlformats.org/drawingml/2006/picture">
            <wp:extent cx="5486400" cy="4445955"/>
            <wp:docPr id="1" name="Picture 1"/>
            <wp:cNvGraphicFramePr>
              <a:graphicFrameLocks noChangeAspect="1"/>
            </wp:cNvGraphicFramePr>
            <a:graphic>
              <a:graphicData uri="http://schemas.openxmlformats.org/drawingml/2006/picture">
                <pic:pic>
                  <pic:nvPicPr>
                    <pic:cNvPr id="0" name="A 52779-2025 karta.png"/>
                    <pic:cNvPicPr/>
                  </pic:nvPicPr>
                  <pic:blipFill>
                    <a:blip r:embed="rId16"/>
                    <a:stretch>
                      <a:fillRect/>
                    </a:stretch>
                  </pic:blipFill>
                  <pic:spPr>
                    <a:xfrm>
                      <a:off x="0" y="0"/>
                      <a:ext cx="5486400" cy="444595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6669785, E 510500 i SWEREF 99 TM.</w:t>
      </w:r>
    </w:p>
    <w:p>
      <w:r>
        <w:t>Inom 17 meter från avverkningsanmälan finns fynd av 6 naturvårdsarter, varav 5 är rödlistade, 1 är fridlyst och 1 är typisk (T): sexfläckig bastardsvärmare (VU), ängsblåvinge (VU), mindre tåtelsmygare (NT), motaggsvamp (NT, T), skogsklocka (NT)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