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50170-2025 i Ludvika kommun</w:t>
      </w:r>
    </w:p>
    <w:p>
      <w:r>
        <w:t>Denna tillsynsbegäran behandlar höga naturvärden i avverkningsanmälan A 50170-2025 i Ludvika kommun som inkom 2025-10-13 och omfattar 2,5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A 50170-2025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6690196, E 491522 i SWEREF 99 TM.</w:t>
      </w:r>
    </w:p>
    <w:p>
      <w:r>
        <w:t>I och inom 5 meter från avverkningsanmälan finns fynd av 2 naturvårdsarter, varav 1 är rödlistad, 1 är typisk (T) och 1 är signalart (S): labyrintlav (NT)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Labyrintlav (NT) </w:t>
      </w:r>
      <w:r>
        <w:t>är en skorplav som växer på fuktiga, hårda lodytor av silikat- och diabasklippor skuggade av barrskog, oftast dominerad av gran. Luftfuktigheten är hög och lokalerna är skyddade mot starkt direkt solljus. Skogsavverkning som exponerar klippväggar med labyrintlav för direkt solljus eller sänker luftfuktigheten är sannolikt det största hotet. Ett antal lokaler måste skyddas och lämnas för fri utveckling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