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21672-2021 i Ludvika kommun</w:t>
      </w:r>
    </w:p>
    <w:p>
      <w:r>
        <w:t>Detta dokument behandlar höga naturvärden i avverkningsanmälan A 21672-2021 i Ludvika kommun. Denna avverkningsanmälan inkom 2021-05-06 och omfattar 21,4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15 naturvårdsarter hittats: goliatmusseron (VU), knärot (VU, §8), blå taggsvamp (NT), kolflarnlav (NT), kortskaftad ärgspik (NT), lunglav (NT), orange taggsvamp (NT), svart taggsvamp (NT), tallticka (NT), vedflamlav (NT), vedskivlav (NT), violettgrå tagellav (NT), dropptaggsvamp (S), nästlav (S) och zontaggsvamp (S). Av dessa är 12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102256"/>
            <wp:docPr id="1" name="Picture 1"/>
            <wp:cNvGraphicFramePr>
              <a:graphicFrameLocks noChangeAspect="1"/>
            </wp:cNvGraphicFramePr>
            <a:graphic>
              <a:graphicData uri="http://schemas.openxmlformats.org/drawingml/2006/picture">
                <pic:pic>
                  <pic:nvPicPr>
                    <pic:cNvPr id="0" name="A 21672-2021 karta.png"/>
                    <pic:cNvPicPr/>
                  </pic:nvPicPr>
                  <pic:blipFill>
                    <a:blip r:embed="rId16"/>
                    <a:stretch>
                      <a:fillRect/>
                    </a:stretch>
                  </pic:blipFill>
                  <pic:spPr>
                    <a:xfrm>
                      <a:off x="0" y="0"/>
                      <a:ext cx="5486400" cy="5102256"/>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6668843, E 481734 i SWEREF 99 TM.</w:t>
      </w:r>
    </w:p>
    <w:p>
      <w:pPr>
        <w:pStyle w:val="Heading1"/>
      </w:pPr>
      <w:r>
        <w:t>Fridlysta arter</w:t>
      </w:r>
    </w:p>
    <w:p>
      <w:r>
        <w:t>Följande fridlysta arter har sina livsmiljöer och växtplatser i den avverkningsanmälda skogen: knärot (VU, §8).</w:t>
      </w:r>
    </w:p>
    <w:p>
      <w:r>
        <w:rPr>
          <w:b/>
        </w:rPr>
        <w:t>Knärot (VU, §8)</w:t>
      </w:r>
      <w:r>
        <w:t xml:space="preserve"> är rödlistad som sårbar (VU). För att knärot inte ska ta skada av skogsbruksåtgärder i intilliggande skog krävs buffertzoner på minst 50 meter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(SLU Artdatabanken, 2023).</w:t>
      </w:r>
    </w:p>
    <w:p>
      <w:r>
        <w:t>I det avverkningsanmälda området finns 1 fyndplatser för knärot registrerade på Artportalen. Figur 2 visar gränserna för buffertzoner på 50 m, som behöver lämnas kring fyndplatserna för att knärotslokalerna inte ska försvinna vid en avverkning</w:t>
      </w:r>
    </w:p>
    <w:p>
      <w:pPr>
        <w:pStyle w:val="Caption"/>
      </w:pPr>
      <w:r>
        <w:drawing>
          <wp:inline xmlns:a="http://schemas.openxmlformats.org/drawingml/2006/main" xmlns:pic="http://schemas.openxmlformats.org/drawingml/2006/picture">
            <wp:extent cx="5486400" cy="6346934"/>
            <wp:docPr id="2" name="Picture 2"/>
            <wp:cNvGraphicFramePr>
              <a:graphicFrameLocks noChangeAspect="1"/>
            </wp:cNvGraphicFramePr>
            <a:graphic>
              <a:graphicData uri="http://schemas.openxmlformats.org/drawingml/2006/picture">
                <pic:pic>
                  <pic:nvPicPr>
                    <pic:cNvPr id="0" name="A 21672-2021 karta knärot.png"/>
                    <pic:cNvPicPr/>
                  </pic:nvPicPr>
                  <pic:blipFill>
                    <a:blip r:embed="rId17"/>
                    <a:stretch>
                      <a:fillRect/>
                    </a:stretch>
                  </pic:blipFill>
                  <pic:spPr>
                    <a:xfrm>
                      <a:off x="0" y="0"/>
                      <a:ext cx="5486400" cy="6346934"/>
                    </a:xfrm>
                    <a:prstGeom prst="rect"/>
                  </pic:spPr>
                </pic:pic>
              </a:graphicData>
            </a:graphic>
          </wp:inline>
        </w:drawing>
      </w:r>
    </w:p>
    <w:p>
      <w:pPr>
        <w:pStyle w:val="Caption"/>
      </w:pPr>
      <w:r>
        <w:t>Figur 2. Fyndplatser och buffertzoner för knärot i det avverkningsanmälda området. Endast fyndplaster vars buffertzoner överlappar med det avverkningsanmälda området har tagits med i visualiseringen. Kartans mittpunktskoordinat är N 6668843, E 481734 i SWEREF 99 TM.</w:t>
      </w:r>
    </w:p>
    <w:p>
      <w:pPr>
        <w:pStyle w:val="Caption"/>
      </w:pP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15 naturvårdsarter varav 12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iförhållande till sin generationstid än vad som tidigare varit känt (data från Riksskogstaxeringen) höjdes den till hotkategori sårbar (VU) i rödlistan 2020 (Artdatabanken, 2021).</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 – 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 xml:space="preserve">Ecological Applications, 22, 2049-2064 </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2021. </w:t>
      </w:r>
      <w:r>
        <w:rPr>
          <w:i/>
        </w:rPr>
        <w:t xml:space="preserve">Artfaktablad. Naturvård – artfakta. </w:t>
      </w:r>
      <w:r>
        <w:t xml:space="preserve">SLU Artdatabanken, Uppsala </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2024-03-06</w:t>
      <w:br/>
      <w:br/>
    </w:r>
    <w:r>
      <w:t>Till: Övriga Aktiebolag</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